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5D864" w14:textId="6DD93BB3" w:rsidR="002D2E5D" w:rsidRDefault="002D2E5D" w:rsidP="002D2E5D">
      <w:pPr>
        <w:pStyle w:val="Title"/>
        <w:jc w:val="center"/>
      </w:pPr>
      <w:r>
        <w:t>Newcastle University</w:t>
      </w:r>
    </w:p>
    <w:p w14:paraId="3237FF9A" w14:textId="77777777" w:rsidR="00193601" w:rsidRDefault="00121FCD" w:rsidP="002D2E5D">
      <w:pPr>
        <w:pStyle w:val="Title"/>
        <w:jc w:val="center"/>
      </w:pPr>
      <w:r w:rsidRPr="005316E6">
        <w:t>E</w:t>
      </w:r>
      <w:r w:rsidR="47E95931" w:rsidRPr="005316E6">
        <w:t xml:space="preserve">quality, </w:t>
      </w:r>
      <w:r w:rsidRPr="005316E6">
        <w:t>D</w:t>
      </w:r>
      <w:r w:rsidR="69FD281A" w:rsidRPr="005316E6">
        <w:t xml:space="preserve">iversity and </w:t>
      </w:r>
      <w:r w:rsidRPr="005316E6">
        <w:t>I</w:t>
      </w:r>
      <w:r w:rsidR="7214707D" w:rsidRPr="005316E6">
        <w:t>nclusion</w:t>
      </w:r>
      <w:r w:rsidRPr="005316E6">
        <w:t xml:space="preserve"> </w:t>
      </w:r>
    </w:p>
    <w:p w14:paraId="624732D7" w14:textId="2A6DA342" w:rsidR="00A3399D" w:rsidRPr="005316E6" w:rsidRDefault="0E55D717" w:rsidP="002D2E5D">
      <w:pPr>
        <w:pStyle w:val="Title"/>
        <w:jc w:val="center"/>
      </w:pPr>
      <w:r w:rsidRPr="005316E6">
        <w:t>A</w:t>
      </w:r>
      <w:r w:rsidR="00121FCD" w:rsidRPr="005316E6">
        <w:t xml:space="preserve">nnual </w:t>
      </w:r>
      <w:r w:rsidR="7ECC9FCE" w:rsidRPr="005316E6">
        <w:t>R</w:t>
      </w:r>
      <w:r w:rsidR="00121FCD" w:rsidRPr="005316E6">
        <w:t>eport</w:t>
      </w:r>
      <w:r w:rsidR="00193601">
        <w:t xml:space="preserve"> </w:t>
      </w:r>
      <w:r w:rsidR="00121FCD" w:rsidRPr="005316E6">
        <w:t>202</w:t>
      </w:r>
      <w:r w:rsidR="00A84469">
        <w:t>2</w:t>
      </w:r>
    </w:p>
    <w:p w14:paraId="3D74176A" w14:textId="29B31F24" w:rsidR="00A3399D" w:rsidRDefault="00A3399D" w:rsidP="00A3399D"/>
    <w:p w14:paraId="57BE758E" w14:textId="77777777" w:rsidR="00A3399D" w:rsidRPr="00A3399D" w:rsidRDefault="00A3399D" w:rsidP="00A3399D"/>
    <w:p w14:paraId="5CEEB4DB" w14:textId="36F19392" w:rsidR="6E16BB5F" w:rsidRDefault="6E16BB5F" w:rsidP="005316E6">
      <w:pPr>
        <w:pStyle w:val="TOCHeading"/>
      </w:pPr>
      <w:r w:rsidRPr="0EE17C8D">
        <w:t>Public Sector Equality Duty</w:t>
      </w:r>
      <w:r w:rsidR="0C62FCD2" w:rsidRPr="0EE17C8D">
        <w:t xml:space="preserve"> </w:t>
      </w:r>
      <w:r w:rsidRPr="0EE17C8D">
        <w:t>Objecti</w:t>
      </w:r>
      <w:r w:rsidR="7FB96DD4" w:rsidRPr="0EE17C8D">
        <w:t xml:space="preserve">ves </w:t>
      </w:r>
      <w:r w:rsidR="2792762C" w:rsidRPr="0EE17C8D">
        <w:t>2020-2024</w:t>
      </w:r>
    </w:p>
    <w:p w14:paraId="5E7B64E9" w14:textId="5927C634" w:rsidR="6E16BB5F" w:rsidRDefault="32B1D419" w:rsidP="005316E6">
      <w:pPr>
        <w:pStyle w:val="TOCHeading"/>
        <w:rPr>
          <w:sz w:val="40"/>
          <w:szCs w:val="40"/>
        </w:rPr>
      </w:pPr>
      <w:r w:rsidRPr="0EE17C8D">
        <w:t>A</w:t>
      </w:r>
      <w:r w:rsidR="6E16BB5F" w:rsidRPr="0EE17C8D">
        <w:t xml:space="preserve">nnual </w:t>
      </w:r>
      <w:r w:rsidR="2DEB7623" w:rsidRPr="0EE17C8D">
        <w:t>r</w:t>
      </w:r>
      <w:r w:rsidR="6E16BB5F" w:rsidRPr="0EE17C8D">
        <w:t>eporting</w:t>
      </w:r>
      <w:r w:rsidR="1207FD44" w:rsidRPr="0EE17C8D">
        <w:t xml:space="preserve"> of </w:t>
      </w:r>
      <w:r w:rsidR="00A3399D">
        <w:t>equality</w:t>
      </w:r>
      <w:r w:rsidR="00B044E0">
        <w:t xml:space="preserve"> </w:t>
      </w:r>
      <w:r w:rsidR="00193601">
        <w:t xml:space="preserve">and diversity </w:t>
      </w:r>
      <w:r w:rsidR="1207FD44" w:rsidRPr="0EE17C8D">
        <w:t>information</w:t>
      </w:r>
    </w:p>
    <w:p w14:paraId="4DB8B039" w14:textId="7762C2C6" w:rsidR="1207FD44" w:rsidRDefault="1207FD44" w:rsidP="005316E6">
      <w:pPr>
        <w:pStyle w:val="TOCHeading"/>
        <w:rPr>
          <w:sz w:val="40"/>
          <w:szCs w:val="40"/>
        </w:rPr>
      </w:pPr>
      <w:r w:rsidRPr="0EE17C8D">
        <w:t xml:space="preserve">Gender Pay Gap </w:t>
      </w:r>
      <w:r w:rsidR="001F75AC">
        <w:t>R</w:t>
      </w:r>
      <w:r w:rsidRPr="0EE17C8D">
        <w:t xml:space="preserve">eport </w:t>
      </w:r>
      <w:r w:rsidR="00193601">
        <w:t>summary</w:t>
      </w:r>
    </w:p>
    <w:p w14:paraId="5438C612" w14:textId="7EC40A86" w:rsidR="287A9376" w:rsidRDefault="287A9376">
      <w:r>
        <w:br w:type="page"/>
      </w:r>
    </w:p>
    <w:sdt>
      <w:sdtPr>
        <w:rPr>
          <w:rFonts w:asciiTheme="minorHAnsi" w:eastAsiaTheme="minorHAnsi" w:hAnsiTheme="minorHAnsi" w:cstheme="minorBidi"/>
          <w:color w:val="auto"/>
          <w:sz w:val="22"/>
          <w:szCs w:val="22"/>
          <w:lang w:val="en-GB"/>
        </w:rPr>
        <w:id w:val="-62418198"/>
        <w:docPartObj>
          <w:docPartGallery w:val="Table of Contents"/>
          <w:docPartUnique/>
        </w:docPartObj>
      </w:sdtPr>
      <w:sdtEndPr>
        <w:rPr>
          <w:b/>
          <w:bCs/>
          <w:noProof/>
        </w:rPr>
      </w:sdtEndPr>
      <w:sdtContent>
        <w:p w14:paraId="0D773A26" w14:textId="1E0698E4" w:rsidR="00A3399D" w:rsidRDefault="00A3399D">
          <w:pPr>
            <w:pStyle w:val="TOCHeading"/>
          </w:pPr>
          <w:r>
            <w:t>Contents</w:t>
          </w:r>
        </w:p>
        <w:p w14:paraId="473E3555" w14:textId="4E1B7D1A" w:rsidR="00A343FB" w:rsidRDefault="00A3399D">
          <w:pPr>
            <w:pStyle w:val="TOC1"/>
            <w:tabs>
              <w:tab w:val="left" w:pos="440"/>
              <w:tab w:val="right" w:leader="dot" w:pos="9016"/>
            </w:tabs>
            <w:rPr>
              <w:rFonts w:eastAsiaTheme="minorEastAsia"/>
              <w:noProof/>
              <w:lang w:eastAsia="en-GB"/>
            </w:rPr>
          </w:pPr>
          <w:r>
            <w:fldChar w:fldCharType="begin"/>
          </w:r>
          <w:r>
            <w:instrText xml:space="preserve"> TOC \o "1-3" \h \z \u </w:instrText>
          </w:r>
          <w:r>
            <w:fldChar w:fldCharType="separate"/>
          </w:r>
          <w:hyperlink w:anchor="_Toc94185385" w:history="1">
            <w:r w:rsidR="00A343FB" w:rsidRPr="00863406">
              <w:rPr>
                <w:rStyle w:val="Hyperlink"/>
                <w:b/>
                <w:bCs/>
                <w:noProof/>
              </w:rPr>
              <w:t>1.</w:t>
            </w:r>
            <w:r w:rsidR="00A343FB">
              <w:rPr>
                <w:rFonts w:eastAsiaTheme="minorEastAsia"/>
                <w:noProof/>
                <w:lang w:eastAsia="en-GB"/>
              </w:rPr>
              <w:tab/>
            </w:r>
            <w:r w:rsidR="00A343FB" w:rsidRPr="00863406">
              <w:rPr>
                <w:rStyle w:val="Hyperlink"/>
                <w:b/>
                <w:bCs/>
                <w:noProof/>
              </w:rPr>
              <w:t>Executive summary</w:t>
            </w:r>
            <w:r w:rsidR="00A343FB">
              <w:rPr>
                <w:noProof/>
                <w:webHidden/>
              </w:rPr>
              <w:tab/>
            </w:r>
            <w:r w:rsidR="00A343FB">
              <w:rPr>
                <w:noProof/>
                <w:webHidden/>
              </w:rPr>
              <w:fldChar w:fldCharType="begin"/>
            </w:r>
            <w:r w:rsidR="00A343FB">
              <w:rPr>
                <w:noProof/>
                <w:webHidden/>
              </w:rPr>
              <w:instrText xml:space="preserve"> PAGEREF _Toc94185385 \h </w:instrText>
            </w:r>
            <w:r w:rsidR="00A343FB">
              <w:rPr>
                <w:noProof/>
                <w:webHidden/>
              </w:rPr>
            </w:r>
            <w:r w:rsidR="00A343FB">
              <w:rPr>
                <w:noProof/>
                <w:webHidden/>
              </w:rPr>
              <w:fldChar w:fldCharType="separate"/>
            </w:r>
            <w:r w:rsidR="00D6627A">
              <w:rPr>
                <w:noProof/>
                <w:webHidden/>
              </w:rPr>
              <w:t>3</w:t>
            </w:r>
            <w:r w:rsidR="00A343FB">
              <w:rPr>
                <w:noProof/>
                <w:webHidden/>
              </w:rPr>
              <w:fldChar w:fldCharType="end"/>
            </w:r>
          </w:hyperlink>
        </w:p>
        <w:p w14:paraId="2FC40D6E" w14:textId="4F879D21" w:rsidR="00A343FB" w:rsidRDefault="00DC6B4B">
          <w:pPr>
            <w:pStyle w:val="TOC1"/>
            <w:tabs>
              <w:tab w:val="left" w:pos="440"/>
              <w:tab w:val="right" w:leader="dot" w:pos="9016"/>
            </w:tabs>
            <w:rPr>
              <w:rFonts w:eastAsiaTheme="minorEastAsia"/>
              <w:noProof/>
              <w:lang w:eastAsia="en-GB"/>
            </w:rPr>
          </w:pPr>
          <w:hyperlink w:anchor="_Toc94185396" w:history="1">
            <w:r w:rsidR="00A343FB" w:rsidRPr="00863406">
              <w:rPr>
                <w:rStyle w:val="Hyperlink"/>
                <w:b/>
                <w:bCs/>
                <w:noProof/>
              </w:rPr>
              <w:t>2.</w:t>
            </w:r>
            <w:r w:rsidR="00A343FB">
              <w:rPr>
                <w:rFonts w:eastAsiaTheme="minorEastAsia"/>
                <w:noProof/>
                <w:lang w:eastAsia="en-GB"/>
              </w:rPr>
              <w:tab/>
            </w:r>
            <w:r w:rsidR="00A343FB" w:rsidRPr="00863406">
              <w:rPr>
                <w:rStyle w:val="Hyperlink"/>
                <w:b/>
                <w:bCs/>
                <w:noProof/>
              </w:rPr>
              <w:t>Introduction</w:t>
            </w:r>
            <w:r w:rsidR="00A343FB">
              <w:rPr>
                <w:noProof/>
                <w:webHidden/>
              </w:rPr>
              <w:tab/>
            </w:r>
            <w:r w:rsidR="00A343FB">
              <w:rPr>
                <w:noProof/>
                <w:webHidden/>
              </w:rPr>
              <w:fldChar w:fldCharType="begin"/>
            </w:r>
            <w:r w:rsidR="00A343FB">
              <w:rPr>
                <w:noProof/>
                <w:webHidden/>
              </w:rPr>
              <w:instrText xml:space="preserve"> PAGEREF _Toc94185396 \h </w:instrText>
            </w:r>
            <w:r w:rsidR="00A343FB">
              <w:rPr>
                <w:noProof/>
                <w:webHidden/>
              </w:rPr>
            </w:r>
            <w:r w:rsidR="00A343FB">
              <w:rPr>
                <w:noProof/>
                <w:webHidden/>
              </w:rPr>
              <w:fldChar w:fldCharType="separate"/>
            </w:r>
            <w:r w:rsidR="00D6627A">
              <w:rPr>
                <w:noProof/>
                <w:webHidden/>
              </w:rPr>
              <w:t>7</w:t>
            </w:r>
            <w:r w:rsidR="00A343FB">
              <w:rPr>
                <w:noProof/>
                <w:webHidden/>
              </w:rPr>
              <w:fldChar w:fldCharType="end"/>
            </w:r>
          </w:hyperlink>
        </w:p>
        <w:p w14:paraId="48C30772" w14:textId="48F4B181" w:rsidR="00A343FB" w:rsidRDefault="00DC6B4B">
          <w:pPr>
            <w:pStyle w:val="TOC1"/>
            <w:tabs>
              <w:tab w:val="left" w:pos="440"/>
              <w:tab w:val="right" w:leader="dot" w:pos="9016"/>
            </w:tabs>
            <w:rPr>
              <w:rFonts w:eastAsiaTheme="minorEastAsia"/>
              <w:noProof/>
              <w:lang w:eastAsia="en-GB"/>
            </w:rPr>
          </w:pPr>
          <w:hyperlink w:anchor="_Toc94185401" w:history="1">
            <w:r w:rsidR="00193601">
              <w:rPr>
                <w:rStyle w:val="Hyperlink"/>
                <w:b/>
                <w:bCs/>
                <w:noProof/>
              </w:rPr>
              <w:t>3</w:t>
            </w:r>
            <w:r w:rsidR="00A343FB" w:rsidRPr="00863406">
              <w:rPr>
                <w:rStyle w:val="Hyperlink"/>
                <w:b/>
                <w:bCs/>
                <w:noProof/>
              </w:rPr>
              <w:t>.</w:t>
            </w:r>
            <w:r w:rsidR="00A343FB">
              <w:rPr>
                <w:rFonts w:eastAsiaTheme="minorEastAsia"/>
                <w:noProof/>
                <w:lang w:eastAsia="en-GB"/>
              </w:rPr>
              <w:tab/>
            </w:r>
            <w:r w:rsidR="00A343FB" w:rsidRPr="00863406">
              <w:rPr>
                <w:rStyle w:val="Hyperlink"/>
                <w:b/>
                <w:bCs/>
                <w:noProof/>
              </w:rPr>
              <w:t>Key areas of progress in 202</w:t>
            </w:r>
            <w:r w:rsidR="00193601">
              <w:rPr>
                <w:rStyle w:val="Hyperlink"/>
                <w:b/>
                <w:bCs/>
                <w:noProof/>
              </w:rPr>
              <w:t>2-23</w:t>
            </w:r>
            <w:r w:rsidR="00A343FB">
              <w:rPr>
                <w:noProof/>
                <w:webHidden/>
              </w:rPr>
              <w:tab/>
            </w:r>
            <w:r w:rsidR="00A343FB">
              <w:rPr>
                <w:noProof/>
                <w:webHidden/>
              </w:rPr>
              <w:fldChar w:fldCharType="begin"/>
            </w:r>
            <w:r w:rsidR="00A343FB">
              <w:rPr>
                <w:noProof/>
                <w:webHidden/>
              </w:rPr>
              <w:instrText xml:space="preserve"> PAGEREF _Toc94185401 \h </w:instrText>
            </w:r>
            <w:r w:rsidR="00A343FB">
              <w:rPr>
                <w:noProof/>
                <w:webHidden/>
              </w:rPr>
            </w:r>
            <w:r w:rsidR="00A343FB">
              <w:rPr>
                <w:noProof/>
                <w:webHidden/>
              </w:rPr>
              <w:fldChar w:fldCharType="separate"/>
            </w:r>
            <w:r w:rsidR="00D6627A">
              <w:rPr>
                <w:noProof/>
                <w:webHidden/>
              </w:rPr>
              <w:t>11</w:t>
            </w:r>
            <w:r w:rsidR="00A343FB">
              <w:rPr>
                <w:noProof/>
                <w:webHidden/>
              </w:rPr>
              <w:fldChar w:fldCharType="end"/>
            </w:r>
          </w:hyperlink>
        </w:p>
        <w:p w14:paraId="22979C62" w14:textId="3C8C4223" w:rsidR="00A343FB" w:rsidRDefault="00DC6B4B">
          <w:pPr>
            <w:pStyle w:val="TOC2"/>
            <w:rPr>
              <w:rFonts w:eastAsiaTheme="minorEastAsia"/>
              <w:noProof/>
              <w:lang w:eastAsia="en-GB"/>
            </w:rPr>
          </w:pPr>
          <w:hyperlink w:anchor="_Toc94185434" w:history="1">
            <w:r w:rsidR="00A343FB" w:rsidRPr="00863406">
              <w:rPr>
                <w:rStyle w:val="Hyperlink"/>
                <w:b/>
                <w:bCs/>
                <w:noProof/>
              </w:rPr>
              <w:t>Faculty highlights</w:t>
            </w:r>
            <w:r w:rsidR="00A343FB">
              <w:rPr>
                <w:noProof/>
                <w:webHidden/>
              </w:rPr>
              <w:tab/>
            </w:r>
            <w:r w:rsidR="00A343FB">
              <w:rPr>
                <w:noProof/>
                <w:webHidden/>
              </w:rPr>
              <w:fldChar w:fldCharType="begin"/>
            </w:r>
            <w:r w:rsidR="00A343FB">
              <w:rPr>
                <w:noProof/>
                <w:webHidden/>
              </w:rPr>
              <w:instrText xml:space="preserve"> PAGEREF _Toc94185434 \h </w:instrText>
            </w:r>
            <w:r w:rsidR="00A343FB">
              <w:rPr>
                <w:noProof/>
                <w:webHidden/>
              </w:rPr>
            </w:r>
            <w:r w:rsidR="00A343FB">
              <w:rPr>
                <w:noProof/>
                <w:webHidden/>
              </w:rPr>
              <w:fldChar w:fldCharType="separate"/>
            </w:r>
            <w:r w:rsidR="00D6627A">
              <w:rPr>
                <w:noProof/>
                <w:webHidden/>
              </w:rPr>
              <w:t>21</w:t>
            </w:r>
            <w:r w:rsidR="00A343FB">
              <w:rPr>
                <w:noProof/>
                <w:webHidden/>
              </w:rPr>
              <w:fldChar w:fldCharType="end"/>
            </w:r>
          </w:hyperlink>
        </w:p>
        <w:p w14:paraId="0382F4D3" w14:textId="75CB1B7F" w:rsidR="00A343FB" w:rsidRDefault="00DC6B4B">
          <w:pPr>
            <w:pStyle w:val="TOC2"/>
            <w:rPr>
              <w:rFonts w:eastAsiaTheme="minorEastAsia"/>
              <w:noProof/>
              <w:lang w:eastAsia="en-GB"/>
            </w:rPr>
          </w:pPr>
          <w:hyperlink w:anchor="_Toc94185438" w:history="1">
            <w:r w:rsidR="00A343FB" w:rsidRPr="00863406">
              <w:rPr>
                <w:rStyle w:val="Hyperlink"/>
                <w:b/>
                <w:bCs/>
                <w:noProof/>
              </w:rPr>
              <w:t>EDI Networks highlights</w:t>
            </w:r>
            <w:r w:rsidR="00A343FB">
              <w:rPr>
                <w:noProof/>
                <w:webHidden/>
              </w:rPr>
              <w:tab/>
            </w:r>
            <w:r w:rsidR="00A343FB">
              <w:rPr>
                <w:noProof/>
                <w:webHidden/>
              </w:rPr>
              <w:fldChar w:fldCharType="begin"/>
            </w:r>
            <w:r w:rsidR="00A343FB">
              <w:rPr>
                <w:noProof/>
                <w:webHidden/>
              </w:rPr>
              <w:instrText xml:space="preserve"> PAGEREF _Toc94185438 \h </w:instrText>
            </w:r>
            <w:r w:rsidR="00A343FB">
              <w:rPr>
                <w:noProof/>
                <w:webHidden/>
              </w:rPr>
            </w:r>
            <w:r w:rsidR="00A343FB">
              <w:rPr>
                <w:noProof/>
                <w:webHidden/>
              </w:rPr>
              <w:fldChar w:fldCharType="separate"/>
            </w:r>
            <w:r w:rsidR="00D6627A">
              <w:rPr>
                <w:noProof/>
                <w:webHidden/>
              </w:rPr>
              <w:t>23</w:t>
            </w:r>
            <w:r w:rsidR="00A343FB">
              <w:rPr>
                <w:noProof/>
                <w:webHidden/>
              </w:rPr>
              <w:fldChar w:fldCharType="end"/>
            </w:r>
          </w:hyperlink>
        </w:p>
        <w:p w14:paraId="43FCE2C5" w14:textId="48B9145B" w:rsidR="00A343FB" w:rsidRDefault="00DC6B4B">
          <w:pPr>
            <w:pStyle w:val="TOC2"/>
            <w:rPr>
              <w:rFonts w:eastAsiaTheme="minorEastAsia"/>
              <w:noProof/>
              <w:lang w:eastAsia="en-GB"/>
            </w:rPr>
          </w:pPr>
          <w:hyperlink w:anchor="_Toc94185446" w:history="1">
            <w:r w:rsidR="00A343FB" w:rsidRPr="00863406">
              <w:rPr>
                <w:rStyle w:val="Hyperlink"/>
                <w:b/>
                <w:bCs/>
                <w:noProof/>
              </w:rPr>
              <w:t>Faith and Spirituality highlights</w:t>
            </w:r>
            <w:r w:rsidR="00A343FB">
              <w:rPr>
                <w:noProof/>
                <w:webHidden/>
              </w:rPr>
              <w:tab/>
            </w:r>
            <w:r w:rsidR="00A343FB">
              <w:rPr>
                <w:noProof/>
                <w:webHidden/>
              </w:rPr>
              <w:fldChar w:fldCharType="begin"/>
            </w:r>
            <w:r w:rsidR="00A343FB">
              <w:rPr>
                <w:noProof/>
                <w:webHidden/>
              </w:rPr>
              <w:instrText xml:space="preserve"> PAGEREF _Toc94185446 \h </w:instrText>
            </w:r>
            <w:r w:rsidR="00A343FB">
              <w:rPr>
                <w:noProof/>
                <w:webHidden/>
              </w:rPr>
            </w:r>
            <w:r w:rsidR="00A343FB">
              <w:rPr>
                <w:noProof/>
                <w:webHidden/>
              </w:rPr>
              <w:fldChar w:fldCharType="separate"/>
            </w:r>
            <w:r w:rsidR="00D6627A">
              <w:rPr>
                <w:noProof/>
                <w:webHidden/>
              </w:rPr>
              <w:t>27</w:t>
            </w:r>
            <w:r w:rsidR="00A343FB">
              <w:rPr>
                <w:noProof/>
                <w:webHidden/>
              </w:rPr>
              <w:fldChar w:fldCharType="end"/>
            </w:r>
          </w:hyperlink>
        </w:p>
        <w:p w14:paraId="57948099" w14:textId="0BD22327" w:rsidR="00A343FB" w:rsidRDefault="00DC6B4B">
          <w:pPr>
            <w:pStyle w:val="TOC1"/>
            <w:tabs>
              <w:tab w:val="left" w:pos="440"/>
              <w:tab w:val="right" w:leader="dot" w:pos="9016"/>
            </w:tabs>
            <w:rPr>
              <w:rFonts w:eastAsiaTheme="minorEastAsia"/>
              <w:noProof/>
              <w:lang w:eastAsia="en-GB"/>
            </w:rPr>
          </w:pPr>
          <w:hyperlink w:anchor="_Toc94185447" w:history="1">
            <w:r w:rsidR="007F323F">
              <w:rPr>
                <w:rStyle w:val="Hyperlink"/>
                <w:b/>
                <w:bCs/>
                <w:noProof/>
              </w:rPr>
              <w:t>4</w:t>
            </w:r>
            <w:r w:rsidR="00A343FB" w:rsidRPr="00863406">
              <w:rPr>
                <w:rStyle w:val="Hyperlink"/>
                <w:b/>
                <w:bCs/>
                <w:noProof/>
              </w:rPr>
              <w:t>.</w:t>
            </w:r>
            <w:r w:rsidR="00A343FB">
              <w:rPr>
                <w:rFonts w:eastAsiaTheme="minorEastAsia"/>
                <w:noProof/>
                <w:lang w:eastAsia="en-GB"/>
              </w:rPr>
              <w:tab/>
            </w:r>
            <w:r w:rsidR="00A343FB" w:rsidRPr="00863406">
              <w:rPr>
                <w:rStyle w:val="Hyperlink"/>
                <w:b/>
                <w:bCs/>
                <w:noProof/>
              </w:rPr>
              <w:t>Workforce diversity</w:t>
            </w:r>
            <w:r w:rsidR="00A343FB">
              <w:rPr>
                <w:noProof/>
                <w:webHidden/>
              </w:rPr>
              <w:tab/>
            </w:r>
            <w:r w:rsidR="00A343FB">
              <w:rPr>
                <w:noProof/>
                <w:webHidden/>
              </w:rPr>
              <w:fldChar w:fldCharType="begin"/>
            </w:r>
            <w:r w:rsidR="00A343FB">
              <w:rPr>
                <w:noProof/>
                <w:webHidden/>
              </w:rPr>
              <w:instrText xml:space="preserve"> PAGEREF _Toc94185447 \h </w:instrText>
            </w:r>
            <w:r w:rsidR="00A343FB">
              <w:rPr>
                <w:noProof/>
                <w:webHidden/>
              </w:rPr>
            </w:r>
            <w:r w:rsidR="00A343FB">
              <w:rPr>
                <w:noProof/>
                <w:webHidden/>
              </w:rPr>
              <w:fldChar w:fldCharType="separate"/>
            </w:r>
            <w:r w:rsidR="00D6627A">
              <w:rPr>
                <w:noProof/>
                <w:webHidden/>
              </w:rPr>
              <w:t>28</w:t>
            </w:r>
            <w:r w:rsidR="00A343FB">
              <w:rPr>
                <w:noProof/>
                <w:webHidden/>
              </w:rPr>
              <w:fldChar w:fldCharType="end"/>
            </w:r>
          </w:hyperlink>
        </w:p>
        <w:p w14:paraId="77165009" w14:textId="262E1290" w:rsidR="00A343FB" w:rsidRDefault="00DC6B4B">
          <w:pPr>
            <w:pStyle w:val="TOC2"/>
            <w:rPr>
              <w:rFonts w:eastAsiaTheme="minorEastAsia"/>
              <w:noProof/>
              <w:lang w:eastAsia="en-GB"/>
            </w:rPr>
          </w:pPr>
          <w:hyperlink w:anchor="_Toc94185448" w:history="1">
            <w:r w:rsidR="00A343FB" w:rsidRPr="00863406">
              <w:rPr>
                <w:rStyle w:val="Hyperlink"/>
                <w:b/>
                <w:bCs/>
                <w:noProof/>
              </w:rPr>
              <w:t xml:space="preserve">Data statement </w:t>
            </w:r>
            <w:r w:rsidR="00C64200">
              <w:rPr>
                <w:rStyle w:val="Hyperlink"/>
                <w:b/>
                <w:bCs/>
                <w:noProof/>
              </w:rPr>
              <w:t>for workforce diversity and pay gap sections</w:t>
            </w:r>
            <w:r w:rsidR="00A343FB">
              <w:rPr>
                <w:noProof/>
                <w:webHidden/>
              </w:rPr>
              <w:tab/>
            </w:r>
            <w:r w:rsidR="00A343FB">
              <w:rPr>
                <w:noProof/>
                <w:webHidden/>
              </w:rPr>
              <w:fldChar w:fldCharType="begin"/>
            </w:r>
            <w:r w:rsidR="00A343FB">
              <w:rPr>
                <w:noProof/>
                <w:webHidden/>
              </w:rPr>
              <w:instrText xml:space="preserve"> PAGEREF _Toc94185448 \h </w:instrText>
            </w:r>
            <w:r w:rsidR="00A343FB">
              <w:rPr>
                <w:noProof/>
                <w:webHidden/>
              </w:rPr>
            </w:r>
            <w:r w:rsidR="00A343FB">
              <w:rPr>
                <w:noProof/>
                <w:webHidden/>
              </w:rPr>
              <w:fldChar w:fldCharType="separate"/>
            </w:r>
            <w:r w:rsidR="00D6627A">
              <w:rPr>
                <w:noProof/>
                <w:webHidden/>
              </w:rPr>
              <w:t>28</w:t>
            </w:r>
            <w:r w:rsidR="00A343FB">
              <w:rPr>
                <w:noProof/>
                <w:webHidden/>
              </w:rPr>
              <w:fldChar w:fldCharType="end"/>
            </w:r>
          </w:hyperlink>
        </w:p>
        <w:p w14:paraId="2E095D09" w14:textId="5F540ABD" w:rsidR="00A343FB" w:rsidRDefault="00DC6B4B">
          <w:pPr>
            <w:pStyle w:val="TOC2"/>
            <w:rPr>
              <w:rFonts w:eastAsiaTheme="minorEastAsia"/>
              <w:noProof/>
              <w:lang w:eastAsia="en-GB"/>
            </w:rPr>
          </w:pPr>
          <w:hyperlink w:anchor="_Toc94185449" w:history="1">
            <w:r w:rsidR="00A343FB" w:rsidRPr="00863406">
              <w:rPr>
                <w:rStyle w:val="Hyperlink"/>
                <w:b/>
                <w:bCs/>
                <w:noProof/>
              </w:rPr>
              <w:t>Age</w:t>
            </w:r>
            <w:r w:rsidR="00A343FB">
              <w:rPr>
                <w:noProof/>
                <w:webHidden/>
              </w:rPr>
              <w:tab/>
            </w:r>
            <w:r w:rsidR="00A343FB">
              <w:rPr>
                <w:noProof/>
                <w:webHidden/>
              </w:rPr>
              <w:fldChar w:fldCharType="begin"/>
            </w:r>
            <w:r w:rsidR="00A343FB">
              <w:rPr>
                <w:noProof/>
                <w:webHidden/>
              </w:rPr>
              <w:instrText xml:space="preserve"> PAGEREF _Toc94185449 \h </w:instrText>
            </w:r>
            <w:r w:rsidR="00A343FB">
              <w:rPr>
                <w:noProof/>
                <w:webHidden/>
              </w:rPr>
            </w:r>
            <w:r w:rsidR="00A343FB">
              <w:rPr>
                <w:noProof/>
                <w:webHidden/>
              </w:rPr>
              <w:fldChar w:fldCharType="separate"/>
            </w:r>
            <w:r w:rsidR="00D6627A">
              <w:rPr>
                <w:noProof/>
                <w:webHidden/>
              </w:rPr>
              <w:t>29</w:t>
            </w:r>
            <w:r w:rsidR="00A343FB">
              <w:rPr>
                <w:noProof/>
                <w:webHidden/>
              </w:rPr>
              <w:fldChar w:fldCharType="end"/>
            </w:r>
          </w:hyperlink>
        </w:p>
        <w:p w14:paraId="7AB7E7E5" w14:textId="7233FC90" w:rsidR="00A343FB" w:rsidRDefault="00DC6B4B">
          <w:pPr>
            <w:pStyle w:val="TOC2"/>
            <w:rPr>
              <w:rFonts w:eastAsiaTheme="minorEastAsia"/>
              <w:noProof/>
              <w:lang w:eastAsia="en-GB"/>
            </w:rPr>
          </w:pPr>
          <w:hyperlink w:anchor="_Toc94185451" w:history="1">
            <w:r w:rsidR="00A343FB" w:rsidRPr="00863406">
              <w:rPr>
                <w:rStyle w:val="Hyperlink"/>
                <w:b/>
                <w:bCs/>
                <w:noProof/>
              </w:rPr>
              <w:t>Disability</w:t>
            </w:r>
            <w:r w:rsidR="00A343FB">
              <w:rPr>
                <w:noProof/>
                <w:webHidden/>
              </w:rPr>
              <w:tab/>
            </w:r>
            <w:r w:rsidR="00A343FB">
              <w:rPr>
                <w:noProof/>
                <w:webHidden/>
              </w:rPr>
              <w:fldChar w:fldCharType="begin"/>
            </w:r>
            <w:r w:rsidR="00A343FB">
              <w:rPr>
                <w:noProof/>
                <w:webHidden/>
              </w:rPr>
              <w:instrText xml:space="preserve"> PAGEREF _Toc94185451 \h </w:instrText>
            </w:r>
            <w:r w:rsidR="00A343FB">
              <w:rPr>
                <w:noProof/>
                <w:webHidden/>
              </w:rPr>
            </w:r>
            <w:r w:rsidR="00A343FB">
              <w:rPr>
                <w:noProof/>
                <w:webHidden/>
              </w:rPr>
              <w:fldChar w:fldCharType="separate"/>
            </w:r>
            <w:r w:rsidR="00D6627A">
              <w:rPr>
                <w:noProof/>
                <w:webHidden/>
              </w:rPr>
              <w:t>30</w:t>
            </w:r>
            <w:r w:rsidR="00A343FB">
              <w:rPr>
                <w:noProof/>
                <w:webHidden/>
              </w:rPr>
              <w:fldChar w:fldCharType="end"/>
            </w:r>
          </w:hyperlink>
        </w:p>
        <w:p w14:paraId="7A13C281" w14:textId="26E74C53" w:rsidR="00A343FB" w:rsidRDefault="00DC6B4B">
          <w:pPr>
            <w:pStyle w:val="TOC2"/>
            <w:rPr>
              <w:rFonts w:eastAsiaTheme="minorEastAsia"/>
              <w:noProof/>
              <w:lang w:eastAsia="en-GB"/>
            </w:rPr>
          </w:pPr>
          <w:hyperlink w:anchor="_Toc94185453" w:history="1">
            <w:r w:rsidR="00A343FB" w:rsidRPr="00863406">
              <w:rPr>
                <w:rStyle w:val="Hyperlink"/>
                <w:b/>
                <w:bCs/>
                <w:noProof/>
              </w:rPr>
              <w:t>Ethnicity</w:t>
            </w:r>
            <w:r w:rsidR="00A343FB">
              <w:rPr>
                <w:noProof/>
                <w:webHidden/>
              </w:rPr>
              <w:tab/>
            </w:r>
            <w:r w:rsidR="00A343FB">
              <w:rPr>
                <w:noProof/>
                <w:webHidden/>
              </w:rPr>
              <w:fldChar w:fldCharType="begin"/>
            </w:r>
            <w:r w:rsidR="00A343FB">
              <w:rPr>
                <w:noProof/>
                <w:webHidden/>
              </w:rPr>
              <w:instrText xml:space="preserve"> PAGEREF _Toc94185453 \h </w:instrText>
            </w:r>
            <w:r w:rsidR="00A343FB">
              <w:rPr>
                <w:noProof/>
                <w:webHidden/>
              </w:rPr>
            </w:r>
            <w:r w:rsidR="00A343FB">
              <w:rPr>
                <w:noProof/>
                <w:webHidden/>
              </w:rPr>
              <w:fldChar w:fldCharType="separate"/>
            </w:r>
            <w:r w:rsidR="00D6627A">
              <w:rPr>
                <w:noProof/>
                <w:webHidden/>
              </w:rPr>
              <w:t>31</w:t>
            </w:r>
            <w:r w:rsidR="00A343FB">
              <w:rPr>
                <w:noProof/>
                <w:webHidden/>
              </w:rPr>
              <w:fldChar w:fldCharType="end"/>
            </w:r>
          </w:hyperlink>
        </w:p>
        <w:p w14:paraId="6F88982A" w14:textId="34DB4ADF" w:rsidR="00A343FB" w:rsidRDefault="00DC6B4B">
          <w:pPr>
            <w:pStyle w:val="TOC2"/>
            <w:rPr>
              <w:rFonts w:eastAsiaTheme="minorEastAsia"/>
              <w:noProof/>
              <w:lang w:eastAsia="en-GB"/>
            </w:rPr>
          </w:pPr>
          <w:hyperlink w:anchor="_Toc94185455" w:history="1">
            <w:r w:rsidR="00A343FB" w:rsidRPr="00863406">
              <w:rPr>
                <w:rStyle w:val="Hyperlink"/>
                <w:b/>
                <w:bCs/>
                <w:noProof/>
              </w:rPr>
              <w:t>Gender affirmation</w:t>
            </w:r>
            <w:r w:rsidR="00A343FB">
              <w:rPr>
                <w:noProof/>
                <w:webHidden/>
              </w:rPr>
              <w:tab/>
            </w:r>
            <w:r w:rsidR="00A343FB">
              <w:rPr>
                <w:noProof/>
                <w:webHidden/>
              </w:rPr>
              <w:fldChar w:fldCharType="begin"/>
            </w:r>
            <w:r w:rsidR="00A343FB">
              <w:rPr>
                <w:noProof/>
                <w:webHidden/>
              </w:rPr>
              <w:instrText xml:space="preserve"> PAGEREF _Toc94185455 \h </w:instrText>
            </w:r>
            <w:r w:rsidR="00A343FB">
              <w:rPr>
                <w:noProof/>
                <w:webHidden/>
              </w:rPr>
            </w:r>
            <w:r w:rsidR="00A343FB">
              <w:rPr>
                <w:noProof/>
                <w:webHidden/>
              </w:rPr>
              <w:fldChar w:fldCharType="separate"/>
            </w:r>
            <w:r w:rsidR="00D6627A">
              <w:rPr>
                <w:noProof/>
                <w:webHidden/>
              </w:rPr>
              <w:t>33</w:t>
            </w:r>
            <w:r w:rsidR="00A343FB">
              <w:rPr>
                <w:noProof/>
                <w:webHidden/>
              </w:rPr>
              <w:fldChar w:fldCharType="end"/>
            </w:r>
          </w:hyperlink>
        </w:p>
        <w:p w14:paraId="66426437" w14:textId="7417340C" w:rsidR="00A343FB" w:rsidRDefault="00DC6B4B">
          <w:pPr>
            <w:pStyle w:val="TOC2"/>
            <w:rPr>
              <w:rFonts w:eastAsiaTheme="minorEastAsia"/>
              <w:noProof/>
              <w:lang w:eastAsia="en-GB"/>
            </w:rPr>
          </w:pPr>
          <w:hyperlink w:anchor="_Toc94185456" w:history="1">
            <w:r w:rsidR="00A343FB" w:rsidRPr="00863406">
              <w:rPr>
                <w:rStyle w:val="Hyperlink"/>
                <w:b/>
                <w:bCs/>
                <w:noProof/>
              </w:rPr>
              <w:t>Marriage and civil partnership</w:t>
            </w:r>
            <w:r w:rsidR="00A343FB">
              <w:rPr>
                <w:noProof/>
                <w:webHidden/>
              </w:rPr>
              <w:tab/>
            </w:r>
            <w:r w:rsidR="00A343FB">
              <w:rPr>
                <w:noProof/>
                <w:webHidden/>
              </w:rPr>
              <w:fldChar w:fldCharType="begin"/>
            </w:r>
            <w:r w:rsidR="00A343FB">
              <w:rPr>
                <w:noProof/>
                <w:webHidden/>
              </w:rPr>
              <w:instrText xml:space="preserve"> PAGEREF _Toc94185456 \h </w:instrText>
            </w:r>
            <w:r w:rsidR="00A343FB">
              <w:rPr>
                <w:noProof/>
                <w:webHidden/>
              </w:rPr>
            </w:r>
            <w:r w:rsidR="00A343FB">
              <w:rPr>
                <w:noProof/>
                <w:webHidden/>
              </w:rPr>
              <w:fldChar w:fldCharType="separate"/>
            </w:r>
            <w:r w:rsidR="00D6627A">
              <w:rPr>
                <w:noProof/>
                <w:webHidden/>
              </w:rPr>
              <w:t>34</w:t>
            </w:r>
            <w:r w:rsidR="00A343FB">
              <w:rPr>
                <w:noProof/>
                <w:webHidden/>
              </w:rPr>
              <w:fldChar w:fldCharType="end"/>
            </w:r>
          </w:hyperlink>
        </w:p>
        <w:p w14:paraId="1C0B6D9F" w14:textId="33300F9D" w:rsidR="00A343FB" w:rsidRDefault="00DC6B4B">
          <w:pPr>
            <w:pStyle w:val="TOC2"/>
            <w:rPr>
              <w:rFonts w:eastAsiaTheme="minorEastAsia"/>
              <w:noProof/>
              <w:lang w:eastAsia="en-GB"/>
            </w:rPr>
          </w:pPr>
          <w:hyperlink w:anchor="_Toc94185457" w:history="1">
            <w:r w:rsidR="00A343FB" w:rsidRPr="00863406">
              <w:rPr>
                <w:rStyle w:val="Hyperlink"/>
                <w:b/>
                <w:bCs/>
                <w:noProof/>
              </w:rPr>
              <w:t>Pregnancy and maternity</w:t>
            </w:r>
            <w:r w:rsidR="00A343FB">
              <w:rPr>
                <w:noProof/>
                <w:webHidden/>
              </w:rPr>
              <w:tab/>
            </w:r>
            <w:r w:rsidR="00A343FB">
              <w:rPr>
                <w:noProof/>
                <w:webHidden/>
              </w:rPr>
              <w:fldChar w:fldCharType="begin"/>
            </w:r>
            <w:r w:rsidR="00A343FB">
              <w:rPr>
                <w:noProof/>
                <w:webHidden/>
              </w:rPr>
              <w:instrText xml:space="preserve"> PAGEREF _Toc94185457 \h </w:instrText>
            </w:r>
            <w:r w:rsidR="00A343FB">
              <w:rPr>
                <w:noProof/>
                <w:webHidden/>
              </w:rPr>
            </w:r>
            <w:r w:rsidR="00A343FB">
              <w:rPr>
                <w:noProof/>
                <w:webHidden/>
              </w:rPr>
              <w:fldChar w:fldCharType="separate"/>
            </w:r>
            <w:r w:rsidR="00D6627A">
              <w:rPr>
                <w:noProof/>
                <w:webHidden/>
              </w:rPr>
              <w:t>34</w:t>
            </w:r>
            <w:r w:rsidR="00A343FB">
              <w:rPr>
                <w:noProof/>
                <w:webHidden/>
              </w:rPr>
              <w:fldChar w:fldCharType="end"/>
            </w:r>
          </w:hyperlink>
        </w:p>
        <w:p w14:paraId="7D7925DB" w14:textId="37A84A40" w:rsidR="00A343FB" w:rsidRDefault="00DC6B4B">
          <w:pPr>
            <w:pStyle w:val="TOC2"/>
            <w:rPr>
              <w:rFonts w:eastAsiaTheme="minorEastAsia"/>
              <w:noProof/>
              <w:lang w:eastAsia="en-GB"/>
            </w:rPr>
          </w:pPr>
          <w:hyperlink w:anchor="_Toc94185458" w:history="1">
            <w:r w:rsidR="00A343FB" w:rsidRPr="00863406">
              <w:rPr>
                <w:rStyle w:val="Hyperlink"/>
                <w:b/>
                <w:bCs/>
                <w:noProof/>
              </w:rPr>
              <w:t>Religion and belief</w:t>
            </w:r>
            <w:r w:rsidR="00A343FB">
              <w:rPr>
                <w:noProof/>
                <w:webHidden/>
              </w:rPr>
              <w:tab/>
            </w:r>
            <w:r w:rsidR="00A343FB">
              <w:rPr>
                <w:noProof/>
                <w:webHidden/>
              </w:rPr>
              <w:fldChar w:fldCharType="begin"/>
            </w:r>
            <w:r w:rsidR="00A343FB">
              <w:rPr>
                <w:noProof/>
                <w:webHidden/>
              </w:rPr>
              <w:instrText xml:space="preserve"> PAGEREF _Toc94185458 \h </w:instrText>
            </w:r>
            <w:r w:rsidR="00A343FB">
              <w:rPr>
                <w:noProof/>
                <w:webHidden/>
              </w:rPr>
            </w:r>
            <w:r w:rsidR="00A343FB">
              <w:rPr>
                <w:noProof/>
                <w:webHidden/>
              </w:rPr>
              <w:fldChar w:fldCharType="separate"/>
            </w:r>
            <w:r w:rsidR="00D6627A">
              <w:rPr>
                <w:noProof/>
                <w:webHidden/>
              </w:rPr>
              <w:t>34</w:t>
            </w:r>
            <w:r w:rsidR="00A343FB">
              <w:rPr>
                <w:noProof/>
                <w:webHidden/>
              </w:rPr>
              <w:fldChar w:fldCharType="end"/>
            </w:r>
          </w:hyperlink>
        </w:p>
        <w:p w14:paraId="2BAE2C22" w14:textId="6D3D5C7C" w:rsidR="00A343FB" w:rsidRDefault="00DC6B4B">
          <w:pPr>
            <w:pStyle w:val="TOC2"/>
            <w:rPr>
              <w:rFonts w:eastAsiaTheme="minorEastAsia"/>
              <w:noProof/>
              <w:lang w:eastAsia="en-GB"/>
            </w:rPr>
          </w:pPr>
          <w:hyperlink w:anchor="_Toc94185459" w:history="1">
            <w:r w:rsidR="00A343FB" w:rsidRPr="00863406">
              <w:rPr>
                <w:rStyle w:val="Hyperlink"/>
                <w:b/>
                <w:bCs/>
                <w:noProof/>
              </w:rPr>
              <w:t>Sex</w:t>
            </w:r>
            <w:r w:rsidR="00A343FB">
              <w:rPr>
                <w:noProof/>
                <w:webHidden/>
              </w:rPr>
              <w:tab/>
            </w:r>
            <w:r w:rsidR="00A343FB">
              <w:rPr>
                <w:noProof/>
                <w:webHidden/>
              </w:rPr>
              <w:fldChar w:fldCharType="begin"/>
            </w:r>
            <w:r w:rsidR="00A343FB">
              <w:rPr>
                <w:noProof/>
                <w:webHidden/>
              </w:rPr>
              <w:instrText xml:space="preserve"> PAGEREF _Toc94185459 \h </w:instrText>
            </w:r>
            <w:r w:rsidR="00A343FB">
              <w:rPr>
                <w:noProof/>
                <w:webHidden/>
              </w:rPr>
            </w:r>
            <w:r w:rsidR="00A343FB">
              <w:rPr>
                <w:noProof/>
                <w:webHidden/>
              </w:rPr>
              <w:fldChar w:fldCharType="separate"/>
            </w:r>
            <w:r w:rsidR="00D6627A">
              <w:rPr>
                <w:noProof/>
                <w:webHidden/>
              </w:rPr>
              <w:t>35</w:t>
            </w:r>
            <w:r w:rsidR="00A343FB">
              <w:rPr>
                <w:noProof/>
                <w:webHidden/>
              </w:rPr>
              <w:fldChar w:fldCharType="end"/>
            </w:r>
          </w:hyperlink>
        </w:p>
        <w:p w14:paraId="53DFEBA4" w14:textId="58D887D3" w:rsidR="00A343FB" w:rsidRDefault="00DC6B4B">
          <w:pPr>
            <w:pStyle w:val="TOC2"/>
            <w:rPr>
              <w:rFonts w:eastAsiaTheme="minorEastAsia"/>
              <w:noProof/>
              <w:lang w:eastAsia="en-GB"/>
            </w:rPr>
          </w:pPr>
          <w:hyperlink w:anchor="_Toc94185460" w:history="1">
            <w:r w:rsidR="00A343FB" w:rsidRPr="00863406">
              <w:rPr>
                <w:rStyle w:val="Hyperlink"/>
                <w:b/>
                <w:bCs/>
                <w:noProof/>
              </w:rPr>
              <w:t>Sexual orientation</w:t>
            </w:r>
            <w:r w:rsidR="00A343FB">
              <w:rPr>
                <w:noProof/>
                <w:webHidden/>
              </w:rPr>
              <w:tab/>
            </w:r>
            <w:r w:rsidR="00A343FB">
              <w:rPr>
                <w:noProof/>
                <w:webHidden/>
              </w:rPr>
              <w:fldChar w:fldCharType="begin"/>
            </w:r>
            <w:r w:rsidR="00A343FB">
              <w:rPr>
                <w:noProof/>
                <w:webHidden/>
              </w:rPr>
              <w:instrText xml:space="preserve"> PAGEREF _Toc94185460 \h </w:instrText>
            </w:r>
            <w:r w:rsidR="00A343FB">
              <w:rPr>
                <w:noProof/>
                <w:webHidden/>
              </w:rPr>
            </w:r>
            <w:r w:rsidR="00A343FB">
              <w:rPr>
                <w:noProof/>
                <w:webHidden/>
              </w:rPr>
              <w:fldChar w:fldCharType="separate"/>
            </w:r>
            <w:r w:rsidR="00D6627A">
              <w:rPr>
                <w:noProof/>
                <w:webHidden/>
              </w:rPr>
              <w:t>36</w:t>
            </w:r>
            <w:r w:rsidR="00A343FB">
              <w:rPr>
                <w:noProof/>
                <w:webHidden/>
              </w:rPr>
              <w:fldChar w:fldCharType="end"/>
            </w:r>
          </w:hyperlink>
        </w:p>
        <w:p w14:paraId="505FE3DE" w14:textId="6D0050B5" w:rsidR="00A343FB" w:rsidRDefault="00DC6B4B">
          <w:pPr>
            <w:pStyle w:val="TOC1"/>
            <w:tabs>
              <w:tab w:val="left" w:pos="440"/>
              <w:tab w:val="right" w:leader="dot" w:pos="9016"/>
            </w:tabs>
            <w:rPr>
              <w:rFonts w:eastAsiaTheme="minorEastAsia"/>
              <w:noProof/>
              <w:lang w:eastAsia="en-GB"/>
            </w:rPr>
          </w:pPr>
          <w:hyperlink w:anchor="_Toc94185461" w:history="1">
            <w:r w:rsidR="007F323F">
              <w:rPr>
                <w:rStyle w:val="Hyperlink"/>
                <w:b/>
                <w:bCs/>
                <w:noProof/>
              </w:rPr>
              <w:t>5</w:t>
            </w:r>
            <w:r w:rsidR="00A343FB" w:rsidRPr="00863406">
              <w:rPr>
                <w:rStyle w:val="Hyperlink"/>
                <w:b/>
                <w:bCs/>
                <w:noProof/>
              </w:rPr>
              <w:t>.</w:t>
            </w:r>
            <w:r w:rsidR="00A343FB">
              <w:rPr>
                <w:rFonts w:eastAsiaTheme="minorEastAsia"/>
                <w:noProof/>
                <w:lang w:eastAsia="en-GB"/>
              </w:rPr>
              <w:tab/>
            </w:r>
            <w:r w:rsidR="00A343FB" w:rsidRPr="00863406">
              <w:rPr>
                <w:rStyle w:val="Hyperlink"/>
                <w:b/>
                <w:bCs/>
                <w:noProof/>
              </w:rPr>
              <w:t xml:space="preserve">Gender </w:t>
            </w:r>
            <w:r w:rsidR="00193601">
              <w:rPr>
                <w:rStyle w:val="Hyperlink"/>
                <w:b/>
                <w:bCs/>
                <w:noProof/>
              </w:rPr>
              <w:t>p</w:t>
            </w:r>
            <w:r w:rsidR="00A343FB" w:rsidRPr="00863406">
              <w:rPr>
                <w:rStyle w:val="Hyperlink"/>
                <w:b/>
                <w:bCs/>
                <w:noProof/>
              </w:rPr>
              <w:t xml:space="preserve">ay </w:t>
            </w:r>
            <w:r w:rsidR="00193601">
              <w:rPr>
                <w:rStyle w:val="Hyperlink"/>
                <w:b/>
                <w:bCs/>
                <w:noProof/>
              </w:rPr>
              <w:t>g</w:t>
            </w:r>
            <w:r w:rsidR="00A343FB" w:rsidRPr="00863406">
              <w:rPr>
                <w:rStyle w:val="Hyperlink"/>
                <w:b/>
                <w:bCs/>
                <w:noProof/>
              </w:rPr>
              <w:t xml:space="preserve">ap </w:t>
            </w:r>
            <w:r w:rsidR="00193601">
              <w:rPr>
                <w:rStyle w:val="Hyperlink"/>
                <w:b/>
                <w:bCs/>
                <w:noProof/>
              </w:rPr>
              <w:t>r</w:t>
            </w:r>
            <w:r w:rsidR="00A343FB" w:rsidRPr="00863406">
              <w:rPr>
                <w:rStyle w:val="Hyperlink"/>
                <w:b/>
                <w:bCs/>
                <w:noProof/>
              </w:rPr>
              <w:t>eport</w:t>
            </w:r>
            <w:r w:rsidR="00193601">
              <w:rPr>
                <w:rStyle w:val="Hyperlink"/>
                <w:b/>
                <w:bCs/>
                <w:noProof/>
              </w:rPr>
              <w:t xml:space="preserve"> summary</w:t>
            </w:r>
            <w:r w:rsidR="00A343FB">
              <w:rPr>
                <w:noProof/>
                <w:webHidden/>
              </w:rPr>
              <w:tab/>
            </w:r>
            <w:r w:rsidR="00A343FB">
              <w:rPr>
                <w:noProof/>
                <w:webHidden/>
              </w:rPr>
              <w:fldChar w:fldCharType="begin"/>
            </w:r>
            <w:r w:rsidR="00A343FB">
              <w:rPr>
                <w:noProof/>
                <w:webHidden/>
              </w:rPr>
              <w:instrText xml:space="preserve"> PAGEREF _Toc94185461 \h </w:instrText>
            </w:r>
            <w:r w:rsidR="00A343FB">
              <w:rPr>
                <w:noProof/>
                <w:webHidden/>
              </w:rPr>
            </w:r>
            <w:r w:rsidR="00A343FB">
              <w:rPr>
                <w:noProof/>
                <w:webHidden/>
              </w:rPr>
              <w:fldChar w:fldCharType="separate"/>
            </w:r>
            <w:r w:rsidR="00D6627A">
              <w:rPr>
                <w:noProof/>
                <w:webHidden/>
              </w:rPr>
              <w:t>38</w:t>
            </w:r>
            <w:r w:rsidR="00A343FB">
              <w:rPr>
                <w:noProof/>
                <w:webHidden/>
              </w:rPr>
              <w:fldChar w:fldCharType="end"/>
            </w:r>
          </w:hyperlink>
        </w:p>
        <w:p w14:paraId="09B5AE11" w14:textId="6B719569" w:rsidR="00A343FB" w:rsidRDefault="00DC6B4B">
          <w:pPr>
            <w:pStyle w:val="TOC2"/>
            <w:rPr>
              <w:rFonts w:eastAsiaTheme="minorEastAsia"/>
              <w:noProof/>
              <w:lang w:eastAsia="en-GB"/>
            </w:rPr>
          </w:pPr>
          <w:hyperlink w:anchor="_Toc94185462" w:history="1">
            <w:r w:rsidR="00A343FB" w:rsidRPr="00863406">
              <w:rPr>
                <w:rStyle w:val="Hyperlink"/>
                <w:b/>
                <w:bCs/>
                <w:noProof/>
              </w:rPr>
              <w:t>Introduction</w:t>
            </w:r>
            <w:r w:rsidR="00A343FB">
              <w:rPr>
                <w:noProof/>
                <w:webHidden/>
              </w:rPr>
              <w:tab/>
            </w:r>
            <w:r w:rsidR="00A343FB">
              <w:rPr>
                <w:noProof/>
                <w:webHidden/>
              </w:rPr>
              <w:fldChar w:fldCharType="begin"/>
            </w:r>
            <w:r w:rsidR="00A343FB">
              <w:rPr>
                <w:noProof/>
                <w:webHidden/>
              </w:rPr>
              <w:instrText xml:space="preserve"> PAGEREF _Toc94185462 \h </w:instrText>
            </w:r>
            <w:r w:rsidR="00A343FB">
              <w:rPr>
                <w:noProof/>
                <w:webHidden/>
              </w:rPr>
            </w:r>
            <w:r w:rsidR="00A343FB">
              <w:rPr>
                <w:noProof/>
                <w:webHidden/>
              </w:rPr>
              <w:fldChar w:fldCharType="separate"/>
            </w:r>
            <w:r w:rsidR="00D6627A">
              <w:rPr>
                <w:noProof/>
                <w:webHidden/>
              </w:rPr>
              <w:t>38</w:t>
            </w:r>
            <w:r w:rsidR="00A343FB">
              <w:rPr>
                <w:noProof/>
                <w:webHidden/>
              </w:rPr>
              <w:fldChar w:fldCharType="end"/>
            </w:r>
          </w:hyperlink>
        </w:p>
        <w:p w14:paraId="483EE128" w14:textId="16FB3B30" w:rsidR="00A343FB" w:rsidRPr="00AE6908" w:rsidRDefault="00DC6B4B">
          <w:pPr>
            <w:pStyle w:val="TOC2"/>
            <w:rPr>
              <w:rFonts w:eastAsiaTheme="minorEastAsia"/>
              <w:b/>
              <w:bCs/>
              <w:noProof/>
              <w:lang w:eastAsia="en-GB"/>
            </w:rPr>
          </w:pPr>
          <w:hyperlink w:anchor="_Toc94185464" w:history="1">
            <w:r w:rsidR="00A343FB" w:rsidRPr="00AE6908">
              <w:rPr>
                <w:rStyle w:val="Hyperlink"/>
                <w:rFonts w:ascii="Calibri Light" w:eastAsia="Calibri Light" w:hAnsi="Calibri Light" w:cs="Calibri Light"/>
                <w:b/>
                <w:bCs/>
                <w:noProof/>
              </w:rPr>
              <w:t>Gender pay gaps</w:t>
            </w:r>
            <w:r w:rsidR="00A343FB" w:rsidRPr="00AE6908">
              <w:rPr>
                <w:b/>
                <w:bCs/>
                <w:noProof/>
                <w:webHidden/>
              </w:rPr>
              <w:tab/>
            </w:r>
            <w:r w:rsidR="00A343FB" w:rsidRPr="00AE6908">
              <w:rPr>
                <w:b/>
                <w:bCs/>
                <w:noProof/>
                <w:webHidden/>
              </w:rPr>
              <w:fldChar w:fldCharType="begin"/>
            </w:r>
            <w:r w:rsidR="00A343FB" w:rsidRPr="00AE6908">
              <w:rPr>
                <w:b/>
                <w:bCs/>
                <w:noProof/>
                <w:webHidden/>
              </w:rPr>
              <w:instrText xml:space="preserve"> PAGEREF _Toc94185464 \h </w:instrText>
            </w:r>
            <w:r w:rsidR="00A343FB" w:rsidRPr="00AE6908">
              <w:rPr>
                <w:b/>
                <w:bCs/>
                <w:noProof/>
                <w:webHidden/>
              </w:rPr>
            </w:r>
            <w:r w:rsidR="00A343FB" w:rsidRPr="00AE6908">
              <w:rPr>
                <w:b/>
                <w:bCs/>
                <w:noProof/>
                <w:webHidden/>
              </w:rPr>
              <w:fldChar w:fldCharType="separate"/>
            </w:r>
            <w:r w:rsidR="00D6627A">
              <w:rPr>
                <w:b/>
                <w:bCs/>
                <w:noProof/>
                <w:webHidden/>
              </w:rPr>
              <w:t>39</w:t>
            </w:r>
            <w:r w:rsidR="00A343FB" w:rsidRPr="00AE6908">
              <w:rPr>
                <w:b/>
                <w:bCs/>
                <w:noProof/>
                <w:webHidden/>
              </w:rPr>
              <w:fldChar w:fldCharType="end"/>
            </w:r>
          </w:hyperlink>
        </w:p>
        <w:p w14:paraId="208B641E" w14:textId="7198F817" w:rsidR="00A343FB" w:rsidRPr="00AE6908" w:rsidRDefault="00DC6B4B">
          <w:pPr>
            <w:pStyle w:val="TOC2"/>
            <w:rPr>
              <w:rFonts w:eastAsiaTheme="minorEastAsia"/>
              <w:b/>
              <w:bCs/>
              <w:noProof/>
              <w:lang w:eastAsia="en-GB"/>
            </w:rPr>
          </w:pPr>
          <w:hyperlink w:anchor="_Toc94185468" w:history="1">
            <w:r w:rsidR="00A343FB" w:rsidRPr="00AE6908">
              <w:rPr>
                <w:rStyle w:val="Hyperlink"/>
                <w:rFonts w:ascii="Calibri Light" w:eastAsia="Calibri Light" w:hAnsi="Calibri Light" w:cs="Calibri Light"/>
                <w:b/>
                <w:bCs/>
                <w:noProof/>
              </w:rPr>
              <w:t>Ethnicity, disability, and intersectional pay gaps</w:t>
            </w:r>
            <w:r w:rsidR="00A343FB" w:rsidRPr="00AE6908">
              <w:rPr>
                <w:b/>
                <w:bCs/>
                <w:noProof/>
                <w:webHidden/>
              </w:rPr>
              <w:tab/>
            </w:r>
            <w:r w:rsidR="00A343FB" w:rsidRPr="00AE6908">
              <w:rPr>
                <w:b/>
                <w:bCs/>
                <w:noProof/>
                <w:webHidden/>
              </w:rPr>
              <w:fldChar w:fldCharType="begin"/>
            </w:r>
            <w:r w:rsidR="00A343FB" w:rsidRPr="00AE6908">
              <w:rPr>
                <w:b/>
                <w:bCs/>
                <w:noProof/>
                <w:webHidden/>
              </w:rPr>
              <w:instrText xml:space="preserve"> PAGEREF _Toc94185468 \h </w:instrText>
            </w:r>
            <w:r w:rsidR="00A343FB" w:rsidRPr="00AE6908">
              <w:rPr>
                <w:b/>
                <w:bCs/>
                <w:noProof/>
                <w:webHidden/>
              </w:rPr>
            </w:r>
            <w:r w:rsidR="00A343FB" w:rsidRPr="00AE6908">
              <w:rPr>
                <w:b/>
                <w:bCs/>
                <w:noProof/>
                <w:webHidden/>
              </w:rPr>
              <w:fldChar w:fldCharType="separate"/>
            </w:r>
            <w:r w:rsidR="00D6627A">
              <w:rPr>
                <w:b/>
                <w:bCs/>
                <w:noProof/>
                <w:webHidden/>
              </w:rPr>
              <w:t>42</w:t>
            </w:r>
            <w:r w:rsidR="00A343FB" w:rsidRPr="00AE6908">
              <w:rPr>
                <w:b/>
                <w:bCs/>
                <w:noProof/>
                <w:webHidden/>
              </w:rPr>
              <w:fldChar w:fldCharType="end"/>
            </w:r>
          </w:hyperlink>
        </w:p>
        <w:p w14:paraId="0C054C20" w14:textId="05A84AD3" w:rsidR="00A343FB" w:rsidRPr="00AE6908" w:rsidRDefault="00DC6B4B">
          <w:pPr>
            <w:pStyle w:val="TOC2"/>
            <w:rPr>
              <w:rFonts w:eastAsiaTheme="minorEastAsia"/>
              <w:b/>
              <w:bCs/>
              <w:noProof/>
              <w:lang w:eastAsia="en-GB"/>
            </w:rPr>
          </w:pPr>
          <w:hyperlink w:anchor="_Toc94185472" w:history="1">
            <w:r w:rsidR="00A343FB" w:rsidRPr="00AE6908">
              <w:rPr>
                <w:rStyle w:val="Hyperlink"/>
                <w:b/>
                <w:bCs/>
                <w:noProof/>
              </w:rPr>
              <w:t>Conclusions and next steps for addressing pay gaps</w:t>
            </w:r>
            <w:r w:rsidR="00A343FB" w:rsidRPr="00AE6908">
              <w:rPr>
                <w:b/>
                <w:bCs/>
                <w:noProof/>
                <w:webHidden/>
              </w:rPr>
              <w:tab/>
            </w:r>
            <w:r w:rsidR="00A343FB" w:rsidRPr="00AE6908">
              <w:rPr>
                <w:b/>
                <w:bCs/>
                <w:noProof/>
                <w:webHidden/>
              </w:rPr>
              <w:fldChar w:fldCharType="begin"/>
            </w:r>
            <w:r w:rsidR="00A343FB" w:rsidRPr="00AE6908">
              <w:rPr>
                <w:b/>
                <w:bCs/>
                <w:noProof/>
                <w:webHidden/>
              </w:rPr>
              <w:instrText xml:space="preserve"> PAGEREF _Toc94185472 \h </w:instrText>
            </w:r>
            <w:r w:rsidR="00A343FB" w:rsidRPr="00AE6908">
              <w:rPr>
                <w:b/>
                <w:bCs/>
                <w:noProof/>
                <w:webHidden/>
              </w:rPr>
            </w:r>
            <w:r w:rsidR="00A343FB" w:rsidRPr="00AE6908">
              <w:rPr>
                <w:b/>
                <w:bCs/>
                <w:noProof/>
                <w:webHidden/>
              </w:rPr>
              <w:fldChar w:fldCharType="separate"/>
            </w:r>
            <w:r w:rsidR="00D6627A">
              <w:rPr>
                <w:b/>
                <w:bCs/>
                <w:noProof/>
                <w:webHidden/>
              </w:rPr>
              <w:t>45</w:t>
            </w:r>
            <w:r w:rsidR="00A343FB" w:rsidRPr="00AE6908">
              <w:rPr>
                <w:b/>
                <w:bCs/>
                <w:noProof/>
                <w:webHidden/>
              </w:rPr>
              <w:fldChar w:fldCharType="end"/>
            </w:r>
          </w:hyperlink>
        </w:p>
        <w:p w14:paraId="4246157B" w14:textId="760171CD" w:rsidR="00A343FB" w:rsidRPr="00AE6908" w:rsidRDefault="007F323F">
          <w:pPr>
            <w:pStyle w:val="TOC1"/>
            <w:tabs>
              <w:tab w:val="right" w:leader="dot" w:pos="9016"/>
            </w:tabs>
            <w:rPr>
              <w:rFonts w:eastAsiaTheme="minorEastAsia"/>
              <w:b/>
              <w:bCs/>
              <w:noProof/>
              <w:lang w:eastAsia="en-GB"/>
            </w:rPr>
          </w:pPr>
          <w:r>
            <w:rPr>
              <w:rStyle w:val="Hyperlink"/>
              <w:b/>
              <w:bCs/>
              <w:noProof/>
              <w:color w:val="auto"/>
              <w:u w:val="none"/>
            </w:rPr>
            <w:t>6</w:t>
          </w:r>
          <w:r w:rsidR="00AE6908" w:rsidRPr="00AE6908">
            <w:rPr>
              <w:rStyle w:val="Hyperlink"/>
              <w:b/>
              <w:bCs/>
              <w:noProof/>
              <w:color w:val="auto"/>
              <w:u w:val="none"/>
            </w:rPr>
            <w:t xml:space="preserve">. </w:t>
          </w:r>
          <w:hyperlink w:anchor="_Toc94185473" w:history="1">
            <w:r w:rsidR="00A343FB" w:rsidRPr="00AE6908">
              <w:rPr>
                <w:rStyle w:val="Hyperlink"/>
                <w:b/>
                <w:bCs/>
                <w:noProof/>
              </w:rPr>
              <w:t>Appendices</w:t>
            </w:r>
            <w:r w:rsidR="00A343FB" w:rsidRPr="00AE6908">
              <w:rPr>
                <w:b/>
                <w:bCs/>
                <w:noProof/>
                <w:webHidden/>
              </w:rPr>
              <w:tab/>
            </w:r>
            <w:r w:rsidR="00A343FB" w:rsidRPr="00AE6908">
              <w:rPr>
                <w:b/>
                <w:bCs/>
                <w:noProof/>
                <w:webHidden/>
              </w:rPr>
              <w:fldChar w:fldCharType="begin"/>
            </w:r>
            <w:r w:rsidR="00A343FB" w:rsidRPr="00AE6908">
              <w:rPr>
                <w:b/>
                <w:bCs/>
                <w:noProof/>
                <w:webHidden/>
              </w:rPr>
              <w:instrText xml:space="preserve"> PAGEREF _Toc94185473 \h </w:instrText>
            </w:r>
            <w:r w:rsidR="00A343FB" w:rsidRPr="00AE6908">
              <w:rPr>
                <w:b/>
                <w:bCs/>
                <w:noProof/>
                <w:webHidden/>
              </w:rPr>
            </w:r>
            <w:r w:rsidR="00A343FB" w:rsidRPr="00AE6908">
              <w:rPr>
                <w:b/>
                <w:bCs/>
                <w:noProof/>
                <w:webHidden/>
              </w:rPr>
              <w:fldChar w:fldCharType="separate"/>
            </w:r>
            <w:r w:rsidR="00D6627A">
              <w:rPr>
                <w:b/>
                <w:bCs/>
                <w:noProof/>
                <w:webHidden/>
              </w:rPr>
              <w:t>47</w:t>
            </w:r>
            <w:r w:rsidR="00A343FB" w:rsidRPr="00AE6908">
              <w:rPr>
                <w:b/>
                <w:bCs/>
                <w:noProof/>
                <w:webHidden/>
              </w:rPr>
              <w:fldChar w:fldCharType="end"/>
            </w:r>
          </w:hyperlink>
        </w:p>
        <w:p w14:paraId="15B2EFD2" w14:textId="7CF2FAA9" w:rsidR="00A343FB" w:rsidRPr="00AE6908" w:rsidRDefault="00DC6B4B">
          <w:pPr>
            <w:pStyle w:val="TOC2"/>
            <w:rPr>
              <w:rFonts w:eastAsiaTheme="minorEastAsia"/>
              <w:b/>
              <w:bCs/>
              <w:noProof/>
              <w:lang w:eastAsia="en-GB"/>
            </w:rPr>
          </w:pPr>
          <w:hyperlink w:anchor="_Toc94185474" w:history="1">
            <w:r w:rsidR="00A343FB" w:rsidRPr="00AE6908">
              <w:rPr>
                <w:rStyle w:val="Hyperlink"/>
                <w:b/>
                <w:bCs/>
                <w:noProof/>
              </w:rPr>
              <w:t>List of abbreviations</w:t>
            </w:r>
            <w:r w:rsidR="00A343FB" w:rsidRPr="00AE6908">
              <w:rPr>
                <w:b/>
                <w:bCs/>
                <w:noProof/>
                <w:webHidden/>
              </w:rPr>
              <w:tab/>
            </w:r>
            <w:r w:rsidR="00A343FB" w:rsidRPr="00AE6908">
              <w:rPr>
                <w:b/>
                <w:bCs/>
                <w:noProof/>
                <w:webHidden/>
              </w:rPr>
              <w:fldChar w:fldCharType="begin"/>
            </w:r>
            <w:r w:rsidR="00A343FB" w:rsidRPr="00AE6908">
              <w:rPr>
                <w:b/>
                <w:bCs/>
                <w:noProof/>
                <w:webHidden/>
              </w:rPr>
              <w:instrText xml:space="preserve"> PAGEREF _Toc94185474 \h </w:instrText>
            </w:r>
            <w:r w:rsidR="00A343FB" w:rsidRPr="00AE6908">
              <w:rPr>
                <w:b/>
                <w:bCs/>
                <w:noProof/>
                <w:webHidden/>
              </w:rPr>
            </w:r>
            <w:r w:rsidR="00A343FB" w:rsidRPr="00AE6908">
              <w:rPr>
                <w:b/>
                <w:bCs/>
                <w:noProof/>
                <w:webHidden/>
              </w:rPr>
              <w:fldChar w:fldCharType="separate"/>
            </w:r>
            <w:r w:rsidR="00D6627A">
              <w:rPr>
                <w:b/>
                <w:bCs/>
                <w:noProof/>
                <w:webHidden/>
              </w:rPr>
              <w:t>47</w:t>
            </w:r>
            <w:r w:rsidR="00A343FB" w:rsidRPr="00AE6908">
              <w:rPr>
                <w:b/>
                <w:bCs/>
                <w:noProof/>
                <w:webHidden/>
              </w:rPr>
              <w:fldChar w:fldCharType="end"/>
            </w:r>
          </w:hyperlink>
        </w:p>
        <w:p w14:paraId="054F2ACC" w14:textId="0CA7007E" w:rsidR="00A3399D" w:rsidRPr="00B6123D" w:rsidRDefault="00A3399D">
          <w:r>
            <w:rPr>
              <w:b/>
              <w:bCs/>
              <w:noProof/>
            </w:rPr>
            <w:fldChar w:fldCharType="end"/>
          </w:r>
        </w:p>
      </w:sdtContent>
    </w:sdt>
    <w:bookmarkStart w:id="0" w:name="_Toc86832877" w:displacedByCustomXml="prev"/>
    <w:p w14:paraId="0A8DBE3C" w14:textId="77777777" w:rsidR="00F07D00" w:rsidRDefault="00F07D00">
      <w:pPr>
        <w:rPr>
          <w:rFonts w:asciiTheme="majorHAnsi" w:eastAsiaTheme="majorEastAsia" w:hAnsiTheme="majorHAnsi" w:cstheme="majorBidi"/>
          <w:b/>
          <w:bCs/>
          <w:color w:val="2F5496" w:themeColor="accent1" w:themeShade="BF"/>
          <w:sz w:val="32"/>
          <w:szCs w:val="32"/>
        </w:rPr>
      </w:pPr>
      <w:bookmarkStart w:id="1" w:name="_Toc94185385"/>
      <w:r>
        <w:rPr>
          <w:b/>
          <w:bCs/>
        </w:rPr>
        <w:br w:type="page"/>
      </w:r>
    </w:p>
    <w:p w14:paraId="09F4C7CF" w14:textId="5055E70D" w:rsidR="00121FCD" w:rsidRPr="001E768F" w:rsidRDefault="12CA6439" w:rsidP="00DC6B4B">
      <w:pPr>
        <w:pStyle w:val="Heading1"/>
        <w:numPr>
          <w:ilvl w:val="0"/>
          <w:numId w:val="3"/>
        </w:numPr>
        <w:rPr>
          <w:b/>
          <w:bCs/>
        </w:rPr>
      </w:pPr>
      <w:r w:rsidRPr="3C4DAE66">
        <w:rPr>
          <w:b/>
          <w:bCs/>
        </w:rPr>
        <w:lastRenderedPageBreak/>
        <w:t>Executive summary</w:t>
      </w:r>
      <w:bookmarkEnd w:id="1"/>
      <w:bookmarkEnd w:id="0"/>
    </w:p>
    <w:p w14:paraId="1A9128E9" w14:textId="77777777" w:rsidR="00BA5381" w:rsidRDefault="00BA5381" w:rsidP="002E3742">
      <w:pPr>
        <w:rPr>
          <w:rFonts w:ascii="Calibri" w:eastAsia="Calibri" w:hAnsi="Calibri" w:cs="Calibri"/>
        </w:rPr>
      </w:pPr>
    </w:p>
    <w:p w14:paraId="554A53E2" w14:textId="4C73B77F" w:rsidR="002E3742" w:rsidRDefault="00D6627A" w:rsidP="002E3742">
      <w:r w:rsidRPr="00D6627A">
        <w:rPr>
          <w:rFonts w:ascii="Calibri" w:eastAsia="Calibri" w:hAnsi="Calibri" w:cs="Calibri"/>
        </w:rPr>
        <w:t>Equality, Diversity and Inclusion (EDI) is one of Newcastle University’s core values that runs through our University Vision and Strategy and underpins all that we do. This report brings together our reporting on our Public Sector Equality Duty (PSED) Equality Objectives and annual reporting of our equality information, whilst also providing a summary of our Gender Pay Gap Report</w:t>
      </w:r>
      <w:r>
        <w:rPr>
          <w:rFonts w:ascii="Calibri" w:eastAsia="Calibri" w:hAnsi="Calibri" w:cs="Calibri"/>
        </w:rPr>
        <w:t>.</w:t>
      </w:r>
    </w:p>
    <w:p w14:paraId="27EFC3B3" w14:textId="69ED4E32" w:rsidR="00C13055" w:rsidRDefault="00D6627A" w:rsidP="00031E47">
      <w:r w:rsidRPr="00D6627A">
        <w:t>We have continued to make progress across our Equality Objectives in the 2021-2022 reporting period and, although slightly outside the reporting period, a particular highlight of 2022 is achieving a Race Equality Charter (REC), Bronze Award, for our work to tackle race inequality. Whilst this year has seen a number of highlights in terms of our EDI work, we know there is still work to do and we continue to progress a range of EDI projects aimed at helping us achieve our objectives.</w:t>
      </w:r>
    </w:p>
    <w:p w14:paraId="04D92E83" w14:textId="380F7ABF" w:rsidR="00031E47" w:rsidRPr="00031E47" w:rsidRDefault="2F4F6A0F" w:rsidP="00031E47">
      <w:pPr>
        <w:pStyle w:val="Heading2"/>
        <w:rPr>
          <w:b/>
          <w:bCs/>
        </w:rPr>
      </w:pPr>
      <w:bookmarkStart w:id="2" w:name="_Toc94185386"/>
      <w:bookmarkStart w:id="3" w:name="_Hlk132380414"/>
      <w:r w:rsidRPr="00031E47">
        <w:rPr>
          <w:b/>
          <w:bCs/>
        </w:rPr>
        <w:t>Key areas of progress in 202</w:t>
      </w:r>
      <w:r w:rsidR="00D6627A">
        <w:rPr>
          <w:b/>
          <w:bCs/>
        </w:rPr>
        <w:t>1</w:t>
      </w:r>
      <w:r w:rsidRPr="00031E47">
        <w:rPr>
          <w:b/>
          <w:bCs/>
        </w:rPr>
        <w:t>-2</w:t>
      </w:r>
      <w:bookmarkEnd w:id="2"/>
      <w:r w:rsidR="00D6627A">
        <w:rPr>
          <w:b/>
          <w:bCs/>
        </w:rPr>
        <w:t>2</w:t>
      </w:r>
      <w:r w:rsidRPr="00031E47">
        <w:rPr>
          <w:b/>
          <w:bCs/>
        </w:rPr>
        <w:t xml:space="preserve">  </w:t>
      </w:r>
    </w:p>
    <w:bookmarkEnd w:id="3"/>
    <w:p w14:paraId="5D8AFD1B" w14:textId="58038A7D" w:rsidR="00D6627A" w:rsidRPr="00D6627A" w:rsidRDefault="00D6627A" w:rsidP="00A36A76">
      <w:pPr>
        <w:pStyle w:val="ListParagraph"/>
        <w:numPr>
          <w:ilvl w:val="0"/>
          <w:numId w:val="1"/>
        </w:numPr>
        <w:contextualSpacing w:val="0"/>
      </w:pPr>
      <w:r w:rsidRPr="00D6627A">
        <w:rPr>
          <w:b/>
          <w:bCs/>
        </w:rPr>
        <w:t xml:space="preserve">To further develop an inclusive culture, </w:t>
      </w:r>
      <w:r w:rsidRPr="00D6627A">
        <w:t>we have introduced a new in-house reporting system and referral pathway to tackle hate crime, discrimination, victimisation or harassment, and introduced sexual and hate related misconduct procedures as part of colleague disciplinary policy. We have also launched our Research Culture Action Plan, which includes commissioning work to gather information about inappropriate behaviours in our research community and help develop actions to address them.</w:t>
      </w:r>
      <w:r w:rsidRPr="00D6627A">
        <w:rPr>
          <w:b/>
          <w:bCs/>
        </w:rPr>
        <w:t xml:space="preserve"> </w:t>
      </w:r>
    </w:p>
    <w:p w14:paraId="1CC849E7" w14:textId="28B81E79" w:rsidR="00814B82" w:rsidRDefault="5100A862" w:rsidP="00D6627A">
      <w:pPr>
        <w:pStyle w:val="ListParagraph"/>
        <w:numPr>
          <w:ilvl w:val="0"/>
          <w:numId w:val="1"/>
        </w:numPr>
        <w:contextualSpacing w:val="0"/>
      </w:pPr>
      <w:r w:rsidRPr="0EE17C8D">
        <w:rPr>
          <w:b/>
          <w:bCs/>
        </w:rPr>
        <w:t>To increase the representation</w:t>
      </w:r>
      <w:r>
        <w:t xml:space="preserve"> </w:t>
      </w:r>
      <w:r w:rsidR="006953DE">
        <w:t>o</w:t>
      </w:r>
      <w:r w:rsidR="006953DE" w:rsidRPr="006953DE">
        <w:t>f underrepresented protected characteristic groups among Professional Services (PS) and academic colleagues, we have officially become Disability Confident Committed. We have also developed and delivered a range of training modules to support hiring managers to consider inclusivity at all stages of the recruitment process. We have delivered positive action workshops to key stakeholders and are working with local charities to support recruitment activity.</w:t>
      </w:r>
    </w:p>
    <w:p w14:paraId="40109352" w14:textId="0AFD8EF2" w:rsidR="00121FCD" w:rsidRPr="00FB27FA" w:rsidRDefault="4859D569" w:rsidP="00AE6908">
      <w:pPr>
        <w:pStyle w:val="ListParagraph"/>
        <w:numPr>
          <w:ilvl w:val="0"/>
          <w:numId w:val="1"/>
        </w:numPr>
        <w:ind w:left="714" w:hanging="357"/>
        <w:contextualSpacing w:val="0"/>
        <w:rPr>
          <w:rFonts w:ascii="Calibri" w:eastAsia="Calibri" w:hAnsi="Calibri" w:cs="Calibri"/>
        </w:rPr>
      </w:pPr>
      <w:r w:rsidRPr="00FB1458">
        <w:rPr>
          <w:rFonts w:ascii="Calibri" w:eastAsia="Calibri" w:hAnsi="Calibri" w:cs="Calibri"/>
          <w:b/>
          <w:bCs/>
        </w:rPr>
        <w:t>To improve the progression</w:t>
      </w:r>
      <w:r w:rsidRPr="00FB1458">
        <w:rPr>
          <w:rFonts w:ascii="Calibri" w:eastAsia="Calibri" w:hAnsi="Calibri" w:cs="Calibri"/>
        </w:rPr>
        <w:t xml:space="preserve"> </w:t>
      </w:r>
      <w:r w:rsidR="006953DE" w:rsidRPr="006953DE">
        <w:rPr>
          <w:rFonts w:ascii="Calibri" w:eastAsia="Calibri" w:hAnsi="Calibri" w:cs="Calibri"/>
        </w:rPr>
        <w:t>of academic and PS colleagues from protected characteristic groups into senior positions where underrepresentation has been identified, we have enhanced the promotions process and seen increased success rates for females and minoritised ethnic colleagues being promoted to the roles of Professor and Reader. This year we have also seen the completion of leadership development projects exploring structural inequalities faced by females and neurodiverse colleagues at the University. In addition, we have introduced further career progression support for academic colleagues, which includes increasing the number of promotions workshops.</w:t>
      </w:r>
    </w:p>
    <w:p w14:paraId="59ADD818" w14:textId="6E70A232" w:rsidR="00121FCD" w:rsidRPr="006953DE" w:rsidRDefault="2FBF898A" w:rsidP="00937EDB">
      <w:pPr>
        <w:pStyle w:val="ListParagraph"/>
        <w:numPr>
          <w:ilvl w:val="0"/>
          <w:numId w:val="1"/>
        </w:numPr>
        <w:contextualSpacing w:val="0"/>
        <w:rPr>
          <w:rFonts w:eastAsiaTheme="minorEastAsia"/>
          <w:b/>
          <w:bCs/>
        </w:rPr>
      </w:pPr>
      <w:r w:rsidRPr="006953DE">
        <w:rPr>
          <w:rFonts w:ascii="Calibri" w:eastAsia="Calibri" w:hAnsi="Calibri" w:cs="Calibri"/>
          <w:b/>
          <w:bCs/>
        </w:rPr>
        <w:t xml:space="preserve">To </w:t>
      </w:r>
      <w:r w:rsidR="4FA39986" w:rsidRPr="006953DE">
        <w:rPr>
          <w:rFonts w:ascii="Calibri" w:eastAsia="Calibri" w:hAnsi="Calibri" w:cs="Calibri"/>
          <w:b/>
          <w:bCs/>
        </w:rPr>
        <w:t>improve graduate outcomes</w:t>
      </w:r>
      <w:r w:rsidR="4FA39986" w:rsidRPr="006953DE">
        <w:rPr>
          <w:rFonts w:ascii="Calibri" w:eastAsia="Calibri" w:hAnsi="Calibri" w:cs="Calibri"/>
        </w:rPr>
        <w:t xml:space="preserve"> </w:t>
      </w:r>
      <w:r w:rsidR="006953DE" w:rsidRPr="006953DE">
        <w:rPr>
          <w:rFonts w:ascii="Calibri" w:eastAsia="Calibri" w:hAnsi="Calibri" w:cs="Calibri"/>
        </w:rPr>
        <w:t>for students with protected characteristics, we are developing additional priorities for the future delivery of our Access and Participation work. We are also conducting a range of work to better support students’ sense of belonging, with special focus on students from underrepresented groups. The past year has seen the development and award of scholarships for Black students and refugee and asylum-seeker students, as well as projects focused on developing peer networks, decolonising the curriculum, and working with the Roma community to understand and develop better practice to support their progression to higher education.</w:t>
      </w:r>
    </w:p>
    <w:p w14:paraId="65730F0C" w14:textId="0F561806" w:rsidR="00121FCD" w:rsidRPr="007271D8" w:rsidRDefault="108617E7" w:rsidP="00A3399D">
      <w:pPr>
        <w:pStyle w:val="ListParagraph"/>
        <w:numPr>
          <w:ilvl w:val="0"/>
          <w:numId w:val="1"/>
        </w:numPr>
        <w:ind w:left="714" w:hanging="357"/>
        <w:contextualSpacing w:val="0"/>
        <w:rPr>
          <w:rFonts w:eastAsiaTheme="minorEastAsia"/>
          <w:b/>
          <w:bCs/>
        </w:rPr>
      </w:pPr>
      <w:r w:rsidRPr="0EE17C8D">
        <w:rPr>
          <w:b/>
          <w:bCs/>
        </w:rPr>
        <w:t>To become a family friendly organisation</w:t>
      </w:r>
      <w:r w:rsidR="003C6734" w:rsidRPr="003C6734">
        <w:t>,</w:t>
      </w:r>
      <w:r w:rsidR="003C6734" w:rsidRPr="003C6734">
        <w:rPr>
          <w:spacing w:val="-3"/>
        </w:rPr>
        <w:t xml:space="preserve"> </w:t>
      </w:r>
      <w:r w:rsidR="006953DE" w:rsidRPr="006953DE">
        <w:rPr>
          <w:spacing w:val="-3"/>
        </w:rPr>
        <w:t xml:space="preserve">we have implemented a new Carers’ Policy and managers guidance, created two new dedicated nursing rooms on campus, and introduced a </w:t>
      </w:r>
      <w:r w:rsidR="006953DE" w:rsidRPr="006953DE">
        <w:rPr>
          <w:spacing w:val="-3"/>
        </w:rPr>
        <w:lastRenderedPageBreak/>
        <w:t>new Parental Leave Bursary for postgraduate research students. We have also provided training for managers on supporting colleagues returning to work following a pregnancy or infant loss.</w:t>
      </w:r>
    </w:p>
    <w:p w14:paraId="2EBC34C5" w14:textId="712D3BA5" w:rsidR="3DFD1822" w:rsidRDefault="3DFD1822" w:rsidP="00A3399D">
      <w:pPr>
        <w:pStyle w:val="ListParagraph"/>
        <w:numPr>
          <w:ilvl w:val="0"/>
          <w:numId w:val="1"/>
        </w:numPr>
        <w:ind w:left="714" w:hanging="357"/>
        <w:contextualSpacing w:val="0"/>
        <w:rPr>
          <w:rFonts w:eastAsiaTheme="minorEastAsia"/>
          <w:b/>
          <w:bCs/>
        </w:rPr>
      </w:pPr>
      <w:r w:rsidRPr="0EE17C8D">
        <w:rPr>
          <w:b/>
          <w:bCs/>
        </w:rPr>
        <w:t xml:space="preserve">To </w:t>
      </w:r>
      <w:r w:rsidR="4FC80242" w:rsidRPr="0EE17C8D">
        <w:rPr>
          <w:b/>
          <w:bCs/>
        </w:rPr>
        <w:t>ensure all new and reviewed policies take into consideration EDI</w:t>
      </w:r>
      <w:r w:rsidR="4FC80242">
        <w:t xml:space="preserve">, </w:t>
      </w:r>
      <w:r w:rsidR="006953DE" w:rsidRPr="006953DE">
        <w:rPr>
          <w:spacing w:val="-3"/>
        </w:rPr>
        <w:t>we have concluded our review of the equality analysis (EA) process and launched the new guidance and template. We also created new briefing and training resources to accompany the EA process and guidance.</w:t>
      </w:r>
    </w:p>
    <w:p w14:paraId="7B3B68FB" w14:textId="578D92D8" w:rsidR="00347E30" w:rsidRPr="000001E9" w:rsidRDefault="39292C3B" w:rsidP="008D175F">
      <w:pPr>
        <w:pStyle w:val="ListParagraph"/>
        <w:numPr>
          <w:ilvl w:val="0"/>
          <w:numId w:val="1"/>
        </w:numPr>
      </w:pPr>
      <w:r w:rsidRPr="006953DE">
        <w:rPr>
          <w:b/>
          <w:bCs/>
        </w:rPr>
        <w:t>To improve our EDI evidence base</w:t>
      </w:r>
      <w:r>
        <w:t xml:space="preserve">, </w:t>
      </w:r>
      <w:r w:rsidR="006953DE">
        <w:t>we have launched a campaign to promote sharing of diversity data, enhanced the diversity data categories in both the colleague and postgraduate research admissions system, and carried out first phase development of a Power BI research grant dashboard. We are also reframing how we capture EDI data in the new people data system to ensure questions about EDI are posed in the most appropriate way and response options meet current guidance.</w:t>
      </w:r>
    </w:p>
    <w:p w14:paraId="4012BDB9" w14:textId="6A814058" w:rsidR="006F47FD" w:rsidRPr="00031E47" w:rsidRDefault="006F47FD" w:rsidP="006F47FD">
      <w:pPr>
        <w:pStyle w:val="Heading2"/>
        <w:rPr>
          <w:b/>
          <w:bCs/>
        </w:rPr>
      </w:pPr>
      <w:r>
        <w:rPr>
          <w:b/>
          <w:bCs/>
        </w:rPr>
        <w:t>Workforce diversity</w:t>
      </w:r>
      <w:r w:rsidRPr="00031E47">
        <w:rPr>
          <w:b/>
          <w:bCs/>
        </w:rPr>
        <w:t xml:space="preserve"> in 202</w:t>
      </w:r>
      <w:r>
        <w:rPr>
          <w:b/>
          <w:bCs/>
        </w:rPr>
        <w:t>1</w:t>
      </w:r>
      <w:r w:rsidRPr="00031E47">
        <w:rPr>
          <w:b/>
          <w:bCs/>
        </w:rPr>
        <w:t>-2</w:t>
      </w:r>
      <w:r>
        <w:rPr>
          <w:b/>
          <w:bCs/>
        </w:rPr>
        <w:t>2</w:t>
      </w:r>
      <w:r w:rsidRPr="00031E47">
        <w:rPr>
          <w:b/>
          <w:bCs/>
        </w:rPr>
        <w:t xml:space="preserve">  </w:t>
      </w:r>
    </w:p>
    <w:p w14:paraId="5EB1D48B" w14:textId="776982A8" w:rsidR="006953DE" w:rsidRDefault="006953DE" w:rsidP="00DC6B4B">
      <w:pPr>
        <w:pStyle w:val="ListParagraph"/>
        <w:numPr>
          <w:ilvl w:val="0"/>
          <w:numId w:val="11"/>
        </w:numPr>
      </w:pPr>
      <w:r w:rsidRPr="00F155C5">
        <w:rPr>
          <w:b/>
          <w:bCs/>
        </w:rPr>
        <w:t>Age</w:t>
      </w:r>
      <w:r w:rsidR="00F155C5" w:rsidRPr="00F155C5">
        <w:rPr>
          <w:b/>
          <w:bCs/>
        </w:rPr>
        <w:t xml:space="preserve"> - </w:t>
      </w:r>
      <w:r w:rsidRPr="006953DE">
        <w:t>55.9% of our workforce were aged 31-50 years old</w:t>
      </w:r>
    </w:p>
    <w:p w14:paraId="343D5CB5" w14:textId="0FFDE161" w:rsidR="006953DE" w:rsidRDefault="006953DE" w:rsidP="00DC6B4B">
      <w:pPr>
        <w:pStyle w:val="ListParagraph"/>
        <w:numPr>
          <w:ilvl w:val="0"/>
          <w:numId w:val="11"/>
        </w:numPr>
      </w:pPr>
      <w:r w:rsidRPr="00F155C5">
        <w:rPr>
          <w:b/>
          <w:bCs/>
        </w:rPr>
        <w:t>Disability</w:t>
      </w:r>
      <w:r w:rsidR="00F155C5" w:rsidRPr="00F155C5">
        <w:rPr>
          <w:b/>
          <w:bCs/>
        </w:rPr>
        <w:t xml:space="preserve"> - </w:t>
      </w:r>
      <w:r>
        <w:t xml:space="preserve">4.1% of colleagues declared a disability, including 3.2% of academic and 4.9% of PS colleagues. </w:t>
      </w:r>
    </w:p>
    <w:p w14:paraId="676AF410" w14:textId="15B933CA" w:rsidR="006953DE" w:rsidRPr="006953DE" w:rsidRDefault="006953DE" w:rsidP="00DC6B4B">
      <w:pPr>
        <w:pStyle w:val="ListParagraph"/>
        <w:numPr>
          <w:ilvl w:val="0"/>
          <w:numId w:val="11"/>
        </w:numPr>
      </w:pPr>
      <w:r w:rsidRPr="00F155C5">
        <w:rPr>
          <w:b/>
          <w:bCs/>
        </w:rPr>
        <w:t>Gender Affirmation</w:t>
      </w:r>
      <w:r w:rsidR="00F155C5" w:rsidRPr="00F155C5">
        <w:rPr>
          <w:b/>
          <w:bCs/>
        </w:rPr>
        <w:t xml:space="preserve"> - </w:t>
      </w:r>
      <w:r>
        <w:t xml:space="preserve">0.2% of colleagues stated their gender is not the same as it was at birth. </w:t>
      </w:r>
    </w:p>
    <w:p w14:paraId="11B37DE4" w14:textId="36A5055E" w:rsidR="006953DE" w:rsidRDefault="006953DE" w:rsidP="00DC6B4B">
      <w:pPr>
        <w:pStyle w:val="ListParagraph"/>
        <w:numPr>
          <w:ilvl w:val="0"/>
          <w:numId w:val="11"/>
        </w:numPr>
      </w:pPr>
      <w:r w:rsidRPr="00F155C5">
        <w:rPr>
          <w:b/>
          <w:bCs/>
        </w:rPr>
        <w:t>Ethnicity</w:t>
      </w:r>
      <w:r w:rsidR="00F155C5" w:rsidRPr="00F155C5">
        <w:rPr>
          <w:b/>
          <w:bCs/>
        </w:rPr>
        <w:t xml:space="preserve"> - </w:t>
      </w:r>
      <w:r w:rsidRPr="006953DE">
        <w:t>10.5% of colleagues identified as being from a minoritised ethnic background (a 1.2% increase on 2021), 85% as white and 3.8% preferred not to say. 16.6% of academics and 5.4% of PS colleagues identified as being from a minoritised ethnic background. The largest combined ethnic group across all colleagues was East Asian (3.8%), followed by South and Southeast Asian (2.5%). Whilst the smallest grouping was Black colleagues (1.0%).</w:t>
      </w:r>
    </w:p>
    <w:p w14:paraId="3A377E8A" w14:textId="347A6849" w:rsidR="006953DE" w:rsidRDefault="006953DE" w:rsidP="00DC6B4B">
      <w:pPr>
        <w:pStyle w:val="ListParagraph"/>
        <w:numPr>
          <w:ilvl w:val="0"/>
          <w:numId w:val="11"/>
        </w:numPr>
      </w:pPr>
      <w:r w:rsidRPr="00F155C5">
        <w:rPr>
          <w:b/>
          <w:bCs/>
        </w:rPr>
        <w:t>Marriage &amp; Civil Partnership</w:t>
      </w:r>
      <w:r w:rsidR="00F155C5" w:rsidRPr="00F155C5">
        <w:rPr>
          <w:b/>
          <w:bCs/>
        </w:rPr>
        <w:t xml:space="preserve"> - </w:t>
      </w:r>
      <w:r>
        <w:t>27.1% of colleagues were recorded as married, 24.9% single and we had no recorded information for 8.1% of colleagues.</w:t>
      </w:r>
    </w:p>
    <w:p w14:paraId="5BB00763" w14:textId="4E819AF9" w:rsidR="006953DE" w:rsidRDefault="006953DE" w:rsidP="00DC6B4B">
      <w:pPr>
        <w:pStyle w:val="ListParagraph"/>
        <w:numPr>
          <w:ilvl w:val="0"/>
          <w:numId w:val="11"/>
        </w:numPr>
      </w:pPr>
      <w:r w:rsidRPr="00F155C5">
        <w:rPr>
          <w:b/>
          <w:bCs/>
        </w:rPr>
        <w:t>Pregnancy &amp; Maternity</w:t>
      </w:r>
      <w:r w:rsidR="00F155C5" w:rsidRPr="00F155C5">
        <w:rPr>
          <w:b/>
          <w:bCs/>
        </w:rPr>
        <w:t xml:space="preserve"> - </w:t>
      </w:r>
      <w:r>
        <w:t>117 colleagues took maternity leave between the 1st of August 2021 and 31</w:t>
      </w:r>
      <w:r w:rsidRPr="00F155C5">
        <w:rPr>
          <w:vertAlign w:val="superscript"/>
        </w:rPr>
        <w:t>st</w:t>
      </w:r>
      <w:r>
        <w:t xml:space="preserve"> of July 2022.</w:t>
      </w:r>
    </w:p>
    <w:p w14:paraId="6D643E49" w14:textId="373FC043" w:rsidR="006F47FD" w:rsidRDefault="006F47FD" w:rsidP="00DC6B4B">
      <w:pPr>
        <w:pStyle w:val="ListParagraph"/>
        <w:numPr>
          <w:ilvl w:val="0"/>
          <w:numId w:val="11"/>
        </w:numPr>
      </w:pPr>
      <w:r w:rsidRPr="00F155C5">
        <w:rPr>
          <w:b/>
          <w:bCs/>
        </w:rPr>
        <w:t xml:space="preserve">Religion and </w:t>
      </w:r>
      <w:r w:rsidR="00F155C5" w:rsidRPr="00F155C5">
        <w:rPr>
          <w:b/>
          <w:bCs/>
        </w:rPr>
        <w:t xml:space="preserve">Belief - </w:t>
      </w:r>
      <w:r>
        <w:t xml:space="preserve">17.9% </w:t>
      </w:r>
      <w:r w:rsidRPr="006F47FD">
        <w:t>of colleagues told us they had a religion; 13.4% were Christian, 0.6% Hindu, 0.5% Spiritual, and 0.4% Muslim and or Buddhist. 2.5% stated having a religion not listed and 19.4% reported having no religion.</w:t>
      </w:r>
    </w:p>
    <w:p w14:paraId="10A58ACA" w14:textId="679789B5" w:rsidR="006F47FD" w:rsidRDefault="006F47FD" w:rsidP="00DC6B4B">
      <w:pPr>
        <w:pStyle w:val="ListParagraph"/>
        <w:numPr>
          <w:ilvl w:val="0"/>
          <w:numId w:val="11"/>
        </w:numPr>
      </w:pPr>
      <w:r w:rsidRPr="00F155C5">
        <w:rPr>
          <w:b/>
          <w:bCs/>
        </w:rPr>
        <w:t>Sex</w:t>
      </w:r>
      <w:r w:rsidR="00F155C5" w:rsidRPr="00F155C5">
        <w:rPr>
          <w:b/>
          <w:bCs/>
        </w:rPr>
        <w:t xml:space="preserve"> - </w:t>
      </w:r>
      <w:r>
        <w:t>55.8% of the workforce are female and 44.2% of the workforce are male.</w:t>
      </w:r>
    </w:p>
    <w:p w14:paraId="4CB758FA" w14:textId="1868CF6A" w:rsidR="006F47FD" w:rsidRPr="006953DE" w:rsidRDefault="006F47FD" w:rsidP="00DC6B4B">
      <w:pPr>
        <w:pStyle w:val="ListParagraph"/>
        <w:numPr>
          <w:ilvl w:val="0"/>
          <w:numId w:val="11"/>
        </w:numPr>
      </w:pPr>
      <w:r w:rsidRPr="00F155C5">
        <w:rPr>
          <w:b/>
          <w:bCs/>
        </w:rPr>
        <w:t>Sexual Orientation</w:t>
      </w:r>
      <w:r w:rsidR="00F155C5" w:rsidRPr="00F155C5">
        <w:rPr>
          <w:b/>
          <w:bCs/>
        </w:rPr>
        <w:t xml:space="preserve"> - </w:t>
      </w:r>
      <w:r>
        <w:t xml:space="preserve">3.5% </w:t>
      </w:r>
      <w:r w:rsidRPr="006F47FD">
        <w:t>of colleagues stated their sexual orientation was LGB+</w:t>
      </w:r>
      <w:r>
        <w:t xml:space="preserve"> </w:t>
      </w:r>
      <w:r w:rsidRPr="006F47FD">
        <w:t>(Lesbian, Gay, bisexual or another sexuality, excluding heterosexual). This is a 1% increase on 2021 but our data sharing rate of 42% still remains low for this characteristic.</w:t>
      </w:r>
      <w:r>
        <w:t xml:space="preserve"> </w:t>
      </w:r>
    </w:p>
    <w:p w14:paraId="1599751B" w14:textId="1050F6B2" w:rsidR="367B3669" w:rsidRPr="00814B82" w:rsidRDefault="367B3669" w:rsidP="00814B82">
      <w:pPr>
        <w:pStyle w:val="Heading3"/>
        <w:rPr>
          <w:b/>
          <w:bCs/>
        </w:rPr>
      </w:pPr>
      <w:bookmarkStart w:id="4" w:name="_Toc94185387"/>
      <w:r w:rsidRPr="00814B82">
        <w:rPr>
          <w:b/>
          <w:bCs/>
        </w:rPr>
        <w:t>Faculty highlights</w:t>
      </w:r>
      <w:bookmarkEnd w:id="4"/>
    </w:p>
    <w:p w14:paraId="2572310D" w14:textId="2C0B2874" w:rsidR="006B5DEF" w:rsidRDefault="006F47FD" w:rsidP="006F47FD">
      <w:bookmarkStart w:id="5" w:name="_Toc94184745"/>
      <w:bookmarkStart w:id="6" w:name="_Toc94185390"/>
      <w:r>
        <w:t xml:space="preserve">In the </w:t>
      </w:r>
      <w:r w:rsidRPr="006F47FD">
        <w:rPr>
          <w:b/>
          <w:bCs/>
        </w:rPr>
        <w:t>Faculty of Humanities and Social Sciences</w:t>
      </w:r>
      <w:r>
        <w:t xml:space="preserve"> (HaSS), highlights from across schools over the last year include enhancing EDI related inductions for students, continuing work on decolonising the curriculum, and allyship training for colleagues and students. In addition, a range of EDI events have taken place across HaSS, and some schools have developed a new mentoring strategy as part of their work around promotion and progression. </w:t>
      </w:r>
      <w:bookmarkEnd w:id="5"/>
      <w:bookmarkEnd w:id="6"/>
    </w:p>
    <w:p w14:paraId="431BAF00" w14:textId="27EC9438" w:rsidR="006F47FD" w:rsidRDefault="006F47FD" w:rsidP="006F47FD">
      <w:r w:rsidRPr="006F47FD">
        <w:t xml:space="preserve">Within the </w:t>
      </w:r>
      <w:r w:rsidRPr="006F47FD">
        <w:rPr>
          <w:b/>
          <w:bCs/>
        </w:rPr>
        <w:t>Faculty of Medical Sciences</w:t>
      </w:r>
      <w:r w:rsidRPr="006F47FD">
        <w:t xml:space="preserve"> (FMS), work continues to progress around the Equality Project. Some schools and institutes have been conducting work around decolonising the curriculum and there have been a number of events carried out across the year to celebrate diversity and raise awareness of EDI related topics. In addition, the School of Medicine signed the GLADD (The Association of LGBTQ+ Doctors and Dentists) Medical Schools Charter on conversion therapy.</w:t>
      </w:r>
    </w:p>
    <w:p w14:paraId="39FEE68A" w14:textId="04F28130" w:rsidR="006F47FD" w:rsidRDefault="006F47FD" w:rsidP="006F47FD">
      <w:r>
        <w:lastRenderedPageBreak/>
        <w:t xml:space="preserve">In the </w:t>
      </w:r>
      <w:r w:rsidRPr="006F47FD">
        <w:rPr>
          <w:b/>
          <w:bCs/>
        </w:rPr>
        <w:t>Faculty of Science, Agriculture and Engineering</w:t>
      </w:r>
      <w:r>
        <w:t xml:space="preserve"> (SAgE), highlights this year include EDI events and activities aligned to celebrating 150 years of Science, Agriculture and Engineering at Newcastle University. In addition, the Faculty have carried out research funded by the Royal Academy of Engineering (RAEng) to explore the role of peer networks to enhance belonging and inclusion, as well as a project focused on decolonising the curriculum which was funded by the Natural and Environmental Research Council (NERC).</w:t>
      </w:r>
    </w:p>
    <w:p w14:paraId="61392DAE" w14:textId="77777777" w:rsidR="006B5DEF" w:rsidRDefault="006B5DEF" w:rsidP="00DC6B4B"/>
    <w:p w14:paraId="5783DFC0" w14:textId="28D07C31" w:rsidR="367B3669" w:rsidRPr="00814B82" w:rsidRDefault="367B3669" w:rsidP="006B5DEF">
      <w:pPr>
        <w:pStyle w:val="Heading3"/>
        <w:rPr>
          <w:b/>
          <w:bCs/>
        </w:rPr>
      </w:pPr>
      <w:bookmarkStart w:id="7" w:name="_Toc94185392"/>
      <w:r w:rsidRPr="00814B82">
        <w:rPr>
          <w:b/>
          <w:bCs/>
        </w:rPr>
        <w:t>EDI Network highlights</w:t>
      </w:r>
      <w:bookmarkEnd w:id="7"/>
    </w:p>
    <w:p w14:paraId="10B9DB77" w14:textId="5D1F023E" w:rsidR="00F155C5" w:rsidRDefault="00F155C5" w:rsidP="00F155C5">
      <w:pPr>
        <w:pStyle w:val="Heading3"/>
        <w:rPr>
          <w:rStyle w:val="normaltextrun"/>
          <w:rFonts w:ascii="Calibri" w:eastAsiaTheme="minorHAnsi" w:hAnsi="Calibri" w:cs="Calibri"/>
          <w:color w:val="000000"/>
          <w:sz w:val="22"/>
          <w:szCs w:val="22"/>
          <w:bdr w:val="none" w:sz="0" w:space="0" w:color="auto" w:frame="1"/>
        </w:rPr>
      </w:pPr>
      <w:bookmarkStart w:id="8" w:name="_Toc94185393"/>
      <w:r w:rsidRPr="00F155C5">
        <w:rPr>
          <w:rStyle w:val="normaltextrun"/>
          <w:rFonts w:ascii="Calibri" w:eastAsiaTheme="minorHAnsi" w:hAnsi="Calibri" w:cs="Calibri"/>
          <w:color w:val="000000"/>
          <w:sz w:val="22"/>
          <w:szCs w:val="22"/>
          <w:bdr w:val="none" w:sz="0" w:space="0" w:color="auto" w:frame="1"/>
        </w:rPr>
        <w:t>Our seven EDI Networks play key roles in achieving our EDI ambitions and in supporting and guiding the University to reach its aspiration of being a fully inclusive University. Over the last year, along with providing important peer support, development, and networking opportunities for their members, networks have continued to influence the development of policies, systems, and processes at the University. Some</w:t>
      </w:r>
      <w:r>
        <w:rPr>
          <w:rStyle w:val="normaltextrun"/>
          <w:rFonts w:ascii="Calibri" w:eastAsiaTheme="minorHAnsi" w:hAnsi="Calibri" w:cs="Calibri"/>
          <w:color w:val="000000"/>
          <w:sz w:val="22"/>
          <w:szCs w:val="22"/>
          <w:bdr w:val="none" w:sz="0" w:space="0" w:color="auto" w:frame="1"/>
        </w:rPr>
        <w:t xml:space="preserve"> </w:t>
      </w:r>
      <w:r w:rsidRPr="00F155C5">
        <w:rPr>
          <w:rStyle w:val="normaltextrun"/>
          <w:rFonts w:ascii="Calibri" w:eastAsiaTheme="minorHAnsi" w:hAnsi="Calibri" w:cs="Calibri"/>
          <w:color w:val="000000"/>
          <w:sz w:val="22"/>
          <w:szCs w:val="22"/>
          <w:bdr w:val="none" w:sz="0" w:space="0" w:color="auto" w:frame="1"/>
        </w:rPr>
        <w:t>of the network highlights from this year include the significant contribution to our first REC Bronze Award, the development of a new Carers’ Policy, and input to our submission to become Disability Confident. We also saw Rainbow@Ncl represent the University LGBTQ+ community, at Newcastle Pride (and UK Pride) for the first time.</w:t>
      </w:r>
    </w:p>
    <w:p w14:paraId="09A5DC6B" w14:textId="3B05AAD2" w:rsidR="00F155C5" w:rsidRDefault="00F155C5" w:rsidP="00F155C5"/>
    <w:p w14:paraId="63770BBC" w14:textId="60241C54" w:rsidR="00F155C5" w:rsidRPr="00F155C5" w:rsidRDefault="00F155C5" w:rsidP="00F155C5">
      <w:pPr>
        <w:rPr>
          <w:b/>
          <w:bCs/>
        </w:rPr>
      </w:pPr>
      <w:r w:rsidRPr="00F155C5">
        <w:rPr>
          <w:b/>
          <w:bCs/>
        </w:rPr>
        <w:t>Our EDI Networks:</w:t>
      </w:r>
    </w:p>
    <w:p w14:paraId="1518F737" w14:textId="532B28B2" w:rsidR="00F155C5" w:rsidRDefault="00F155C5" w:rsidP="00DC6B4B">
      <w:pPr>
        <w:pStyle w:val="ListParagraph"/>
        <w:numPr>
          <w:ilvl w:val="0"/>
          <w:numId w:val="12"/>
        </w:numPr>
      </w:pPr>
      <w:r>
        <w:t>Disability Interest Group (DIG)</w:t>
      </w:r>
    </w:p>
    <w:p w14:paraId="79D0BF7C" w14:textId="741BA351" w:rsidR="00F155C5" w:rsidRDefault="00F155C5" w:rsidP="00DC6B4B">
      <w:pPr>
        <w:pStyle w:val="ListParagraph"/>
        <w:numPr>
          <w:ilvl w:val="0"/>
          <w:numId w:val="12"/>
        </w:numPr>
      </w:pPr>
      <w:r>
        <w:t>NU Carers</w:t>
      </w:r>
    </w:p>
    <w:p w14:paraId="584EF553" w14:textId="4F2098D0" w:rsidR="00F155C5" w:rsidRDefault="00F155C5" w:rsidP="00DC6B4B">
      <w:pPr>
        <w:pStyle w:val="ListParagraph"/>
        <w:numPr>
          <w:ilvl w:val="0"/>
          <w:numId w:val="12"/>
        </w:numPr>
      </w:pPr>
      <w:r>
        <w:t>NU Parents</w:t>
      </w:r>
    </w:p>
    <w:p w14:paraId="682665F7" w14:textId="7BA91F2D" w:rsidR="00F155C5" w:rsidRDefault="00F155C5" w:rsidP="00DC6B4B">
      <w:pPr>
        <w:pStyle w:val="ListParagraph"/>
        <w:numPr>
          <w:ilvl w:val="0"/>
          <w:numId w:val="12"/>
        </w:numPr>
      </w:pPr>
      <w:r>
        <w:t>NU Race Equality Network (NU-REN)</w:t>
      </w:r>
    </w:p>
    <w:p w14:paraId="24229564" w14:textId="4715D891" w:rsidR="00F155C5" w:rsidRDefault="00F155C5" w:rsidP="00DC6B4B">
      <w:pPr>
        <w:pStyle w:val="ListParagraph"/>
        <w:numPr>
          <w:ilvl w:val="0"/>
          <w:numId w:val="12"/>
        </w:numPr>
      </w:pPr>
      <w:r>
        <w:t>NU Women</w:t>
      </w:r>
    </w:p>
    <w:p w14:paraId="5DC9DCF1" w14:textId="488EAF68" w:rsidR="00F155C5" w:rsidRDefault="00F155C5" w:rsidP="00DC6B4B">
      <w:pPr>
        <w:pStyle w:val="ListParagraph"/>
        <w:numPr>
          <w:ilvl w:val="0"/>
          <w:numId w:val="12"/>
        </w:numPr>
      </w:pPr>
      <w:r>
        <w:t>Rainbow@Ncl</w:t>
      </w:r>
    </w:p>
    <w:p w14:paraId="645FBED2" w14:textId="0FFD602D" w:rsidR="00F155C5" w:rsidRPr="00F155C5" w:rsidRDefault="00F155C5" w:rsidP="00DC6B4B">
      <w:pPr>
        <w:pStyle w:val="ListParagraph"/>
        <w:numPr>
          <w:ilvl w:val="0"/>
          <w:numId w:val="12"/>
        </w:numPr>
      </w:pPr>
      <w:r>
        <w:t>NU TechNet</w:t>
      </w:r>
    </w:p>
    <w:p w14:paraId="39C0BB4D" w14:textId="77777777" w:rsidR="00F155C5" w:rsidRDefault="00F155C5" w:rsidP="00B6497A">
      <w:pPr>
        <w:rPr>
          <w:rStyle w:val="normaltextrun"/>
          <w:rFonts w:ascii="Calibri" w:hAnsi="Calibri" w:cs="Calibri"/>
          <w:color w:val="000000"/>
          <w:bdr w:val="none" w:sz="0" w:space="0" w:color="auto" w:frame="1"/>
        </w:rPr>
      </w:pPr>
    </w:p>
    <w:p w14:paraId="72946F14" w14:textId="45250F17" w:rsidR="367B3669" w:rsidRPr="00814B82" w:rsidRDefault="367B3669" w:rsidP="00814B82">
      <w:pPr>
        <w:pStyle w:val="Heading3"/>
        <w:rPr>
          <w:b/>
          <w:bCs/>
        </w:rPr>
      </w:pPr>
      <w:r w:rsidRPr="00814B82">
        <w:rPr>
          <w:b/>
          <w:bCs/>
        </w:rPr>
        <w:t>Faith and Spirituality highlights</w:t>
      </w:r>
      <w:bookmarkEnd w:id="8"/>
    </w:p>
    <w:p w14:paraId="0D7392FB" w14:textId="77777777" w:rsidR="00F155C5" w:rsidRDefault="00F155C5" w:rsidP="00814B82">
      <w:pPr>
        <w:pStyle w:val="Heading2"/>
        <w:rPr>
          <w:rStyle w:val="normaltextrun"/>
          <w:rFonts w:ascii="Calibri" w:eastAsiaTheme="minorHAnsi" w:hAnsi="Calibri" w:cs="Calibri"/>
          <w:color w:val="000000"/>
          <w:sz w:val="22"/>
          <w:szCs w:val="22"/>
          <w:bdr w:val="none" w:sz="0" w:space="0" w:color="auto" w:frame="1"/>
        </w:rPr>
      </w:pPr>
      <w:bookmarkStart w:id="9" w:name="_Toc94185394"/>
      <w:r w:rsidRPr="00F155C5">
        <w:rPr>
          <w:rStyle w:val="normaltextrun"/>
          <w:rFonts w:ascii="Calibri" w:eastAsiaTheme="minorHAnsi" w:hAnsi="Calibri" w:cs="Calibri"/>
          <w:color w:val="000000"/>
          <w:sz w:val="22"/>
          <w:szCs w:val="22"/>
          <w:bdr w:val="none" w:sz="0" w:space="0" w:color="auto" w:frame="1"/>
        </w:rPr>
        <w:t xml:space="preserve">Newcastle University provides a Chaplaincy service that is available to students and colleagues, of all faiths and none. Throughout the last year, highlights include the appointment of a new Muslim Chaplaincy Lead, work to improve the visibility of faith support on campus through a renewed Chaplaincy Strategy, and the completion of the Sisters Entrance at the King George VI Prayer Space. </w:t>
      </w:r>
    </w:p>
    <w:p w14:paraId="439B852A" w14:textId="77777777" w:rsidR="00F155C5" w:rsidRDefault="00F155C5" w:rsidP="00B6497A">
      <w:pPr>
        <w:rPr>
          <w:rStyle w:val="normaltextrun"/>
          <w:rFonts w:ascii="Calibri" w:hAnsi="Calibri" w:cs="Calibri"/>
          <w:color w:val="000000"/>
          <w:bdr w:val="none" w:sz="0" w:space="0" w:color="auto" w:frame="1"/>
        </w:rPr>
      </w:pPr>
    </w:p>
    <w:p w14:paraId="168EE3B4" w14:textId="38689C42" w:rsidR="001E768F" w:rsidRPr="00621578" w:rsidRDefault="001E768F" w:rsidP="00621578">
      <w:pPr>
        <w:pStyle w:val="Heading2"/>
        <w:rPr>
          <w:b/>
          <w:bCs/>
        </w:rPr>
      </w:pPr>
      <w:bookmarkStart w:id="10" w:name="_Toc94185395"/>
      <w:bookmarkEnd w:id="9"/>
      <w:r w:rsidRPr="00621578">
        <w:rPr>
          <w:b/>
          <w:bCs/>
        </w:rPr>
        <w:t xml:space="preserve">Gender </w:t>
      </w:r>
      <w:proofErr w:type="gramStart"/>
      <w:r w:rsidR="00F155C5">
        <w:rPr>
          <w:b/>
          <w:bCs/>
        </w:rPr>
        <w:t>p</w:t>
      </w:r>
      <w:r w:rsidRPr="00621578">
        <w:rPr>
          <w:b/>
          <w:bCs/>
        </w:rPr>
        <w:t>ay</w:t>
      </w:r>
      <w:proofErr w:type="gramEnd"/>
      <w:r w:rsidRPr="00621578">
        <w:rPr>
          <w:b/>
          <w:bCs/>
        </w:rPr>
        <w:t xml:space="preserve"> </w:t>
      </w:r>
      <w:r w:rsidR="00F155C5">
        <w:rPr>
          <w:b/>
          <w:bCs/>
        </w:rPr>
        <w:t>g</w:t>
      </w:r>
      <w:r w:rsidRPr="00621578">
        <w:rPr>
          <w:b/>
          <w:bCs/>
        </w:rPr>
        <w:t xml:space="preserve">ap </w:t>
      </w:r>
      <w:r w:rsidR="00F155C5">
        <w:rPr>
          <w:b/>
          <w:bCs/>
        </w:rPr>
        <w:t>r</w:t>
      </w:r>
      <w:r w:rsidRPr="00621578">
        <w:rPr>
          <w:b/>
          <w:bCs/>
        </w:rPr>
        <w:t>eport</w:t>
      </w:r>
      <w:bookmarkEnd w:id="10"/>
      <w:r w:rsidRPr="00621578">
        <w:rPr>
          <w:b/>
          <w:bCs/>
        </w:rPr>
        <w:t xml:space="preserve"> </w:t>
      </w:r>
      <w:r w:rsidR="00F155C5">
        <w:rPr>
          <w:b/>
          <w:bCs/>
        </w:rPr>
        <w:t>2022</w:t>
      </w:r>
    </w:p>
    <w:p w14:paraId="34A8B144" w14:textId="77777777" w:rsidR="00F155C5" w:rsidRDefault="00F155C5" w:rsidP="00F155C5">
      <w:r>
        <w:t>We report on the statutory reporting period 1st April 2021 to 31st March 2022, with our pay gap figures calculated using a snapshot of all eligible employees on 31st March 2022. This year to note there is a slight variation in the methodology due to inclusion of Clinical Excellence Awards being in the ordinary pay gap calculation and removal of salary sacrifice deductions before analysis.</w:t>
      </w:r>
    </w:p>
    <w:p w14:paraId="284DB15D" w14:textId="77777777" w:rsidR="00F155C5" w:rsidRDefault="00F155C5" w:rsidP="00F155C5">
      <w:r>
        <w:t>Overall University level figures:</w:t>
      </w:r>
    </w:p>
    <w:p w14:paraId="64FAF54D" w14:textId="5F443738" w:rsidR="00F155C5" w:rsidRDefault="00F155C5" w:rsidP="00DC6B4B">
      <w:pPr>
        <w:pStyle w:val="ListParagraph"/>
        <w:numPr>
          <w:ilvl w:val="0"/>
          <w:numId w:val="13"/>
        </w:numPr>
        <w:rPr>
          <w:rStyle w:val="normaltextrun"/>
          <w:rFonts w:ascii="Calibri" w:hAnsi="Calibri" w:cs="Calibri"/>
          <w:color w:val="000000"/>
          <w:shd w:val="clear" w:color="auto" w:fill="FFFFFF"/>
        </w:rPr>
      </w:pPr>
      <w:r w:rsidRPr="00F155C5">
        <w:rPr>
          <w:rStyle w:val="normaltextrun"/>
          <w:rFonts w:ascii="Calibri" w:hAnsi="Calibri" w:cs="Calibri"/>
          <w:color w:val="000000"/>
          <w:shd w:val="clear" w:color="auto" w:fill="FFFFFF"/>
        </w:rPr>
        <w:t>Mean gender pay gap of 18.3%</w:t>
      </w:r>
    </w:p>
    <w:p w14:paraId="2D39837F" w14:textId="0BA35958" w:rsidR="00F155C5" w:rsidRDefault="00F155C5" w:rsidP="00DC6B4B">
      <w:pPr>
        <w:pStyle w:val="ListParagraph"/>
        <w:numPr>
          <w:ilvl w:val="0"/>
          <w:numId w:val="13"/>
        </w:numPr>
        <w:rPr>
          <w:rStyle w:val="normaltextrun"/>
          <w:rFonts w:ascii="Calibri" w:hAnsi="Calibri" w:cs="Calibri"/>
          <w:color w:val="000000"/>
          <w:shd w:val="clear" w:color="auto" w:fill="FFFFFF"/>
        </w:rPr>
      </w:pPr>
      <w:r w:rsidRPr="00F155C5">
        <w:rPr>
          <w:rStyle w:val="normaltextrun"/>
          <w:rFonts w:ascii="Calibri" w:hAnsi="Calibri" w:cs="Calibri"/>
          <w:color w:val="000000"/>
          <w:shd w:val="clear" w:color="auto" w:fill="FFFFFF"/>
        </w:rPr>
        <w:t>Median gender pay gap of</w:t>
      </w:r>
      <w:r>
        <w:rPr>
          <w:rStyle w:val="normaltextrun"/>
          <w:rFonts w:ascii="Calibri" w:hAnsi="Calibri" w:cs="Calibri"/>
          <w:color w:val="000000"/>
          <w:shd w:val="clear" w:color="auto" w:fill="FFFFFF"/>
        </w:rPr>
        <w:t xml:space="preserve"> </w:t>
      </w:r>
      <w:r w:rsidRPr="00F155C5">
        <w:rPr>
          <w:rStyle w:val="normaltextrun"/>
          <w:rFonts w:ascii="Calibri" w:hAnsi="Calibri" w:cs="Calibri"/>
          <w:color w:val="000000"/>
          <w:shd w:val="clear" w:color="auto" w:fill="FFFFFF"/>
        </w:rPr>
        <w:t>14.2%</w:t>
      </w:r>
    </w:p>
    <w:p w14:paraId="14A72F3B" w14:textId="1C87D129" w:rsidR="00F155C5" w:rsidRDefault="00F155C5" w:rsidP="00DC6B4B">
      <w:pPr>
        <w:pStyle w:val="ListParagraph"/>
        <w:numPr>
          <w:ilvl w:val="0"/>
          <w:numId w:val="13"/>
        </w:numPr>
        <w:rPr>
          <w:rStyle w:val="normaltextrun"/>
          <w:rFonts w:ascii="Calibri" w:hAnsi="Calibri" w:cs="Calibri"/>
          <w:color w:val="000000"/>
          <w:shd w:val="clear" w:color="auto" w:fill="FFFFFF"/>
        </w:rPr>
      </w:pPr>
      <w:r w:rsidRPr="00F155C5">
        <w:rPr>
          <w:rStyle w:val="normaltextrun"/>
          <w:rFonts w:ascii="Calibri" w:hAnsi="Calibri" w:cs="Calibri"/>
          <w:color w:val="000000"/>
          <w:shd w:val="clear" w:color="auto" w:fill="FFFFFF"/>
        </w:rPr>
        <w:t>Mean gender pay gap among PS colleagues, has decreased by 0.6% to 7.6% since last year</w:t>
      </w:r>
      <w:r>
        <w:rPr>
          <w:rStyle w:val="normaltextrun"/>
          <w:rFonts w:ascii="Calibri" w:hAnsi="Calibri" w:cs="Calibri"/>
          <w:color w:val="000000"/>
          <w:shd w:val="clear" w:color="auto" w:fill="FFFFFF"/>
        </w:rPr>
        <w:t>.</w:t>
      </w:r>
    </w:p>
    <w:p w14:paraId="216FE18C" w14:textId="430470D6" w:rsidR="00F155C5" w:rsidRDefault="00F155C5" w:rsidP="00DC6B4B">
      <w:pPr>
        <w:pStyle w:val="ListParagraph"/>
        <w:numPr>
          <w:ilvl w:val="0"/>
          <w:numId w:val="13"/>
        </w:numPr>
        <w:rPr>
          <w:rStyle w:val="normaltextrun"/>
          <w:rFonts w:ascii="Calibri" w:hAnsi="Calibri" w:cs="Calibri"/>
          <w:color w:val="000000"/>
          <w:shd w:val="clear" w:color="auto" w:fill="FFFFFF"/>
        </w:rPr>
      </w:pPr>
      <w:r w:rsidRPr="00F155C5">
        <w:rPr>
          <w:rStyle w:val="normaltextrun"/>
          <w:rFonts w:ascii="Calibri" w:hAnsi="Calibri" w:cs="Calibri"/>
          <w:color w:val="000000"/>
          <w:shd w:val="clear" w:color="auto" w:fill="FFFFFF"/>
        </w:rPr>
        <w:lastRenderedPageBreak/>
        <w:t>Mean gender pay gap among non-clinical academics of 10.8%</w:t>
      </w:r>
      <w:r>
        <w:rPr>
          <w:rStyle w:val="normaltextrun"/>
          <w:rFonts w:ascii="Calibri" w:hAnsi="Calibri" w:cs="Calibri"/>
          <w:color w:val="000000"/>
          <w:shd w:val="clear" w:color="auto" w:fill="FFFFFF"/>
        </w:rPr>
        <w:t xml:space="preserve">, has </w:t>
      </w:r>
      <w:r w:rsidRPr="00F155C5">
        <w:rPr>
          <w:rStyle w:val="normaltextrun"/>
          <w:rFonts w:ascii="Calibri" w:hAnsi="Calibri" w:cs="Calibri"/>
          <w:color w:val="000000"/>
          <w:shd w:val="clear" w:color="auto" w:fill="FFFFFF"/>
        </w:rPr>
        <w:t>increase</w:t>
      </w:r>
      <w:r>
        <w:rPr>
          <w:rStyle w:val="normaltextrun"/>
          <w:rFonts w:ascii="Calibri" w:hAnsi="Calibri" w:cs="Calibri"/>
          <w:color w:val="000000"/>
          <w:shd w:val="clear" w:color="auto" w:fill="FFFFFF"/>
        </w:rPr>
        <w:t>d</w:t>
      </w:r>
      <w:r w:rsidRPr="00F155C5">
        <w:rPr>
          <w:rStyle w:val="normaltextrun"/>
          <w:rFonts w:ascii="Calibri" w:hAnsi="Calibri" w:cs="Calibri"/>
          <w:color w:val="000000"/>
          <w:shd w:val="clear" w:color="auto" w:fill="FFFFFF"/>
        </w:rPr>
        <w:t xml:space="preserve"> of 0.5% since last year</w:t>
      </w:r>
      <w:r>
        <w:rPr>
          <w:rStyle w:val="normaltextrun"/>
          <w:rFonts w:ascii="Calibri" w:hAnsi="Calibri" w:cs="Calibri"/>
          <w:color w:val="000000"/>
          <w:shd w:val="clear" w:color="auto" w:fill="FFFFFF"/>
        </w:rPr>
        <w:t>.</w:t>
      </w:r>
    </w:p>
    <w:p w14:paraId="1C699990" w14:textId="6233E6F0" w:rsidR="00F155C5" w:rsidRDefault="00F155C5" w:rsidP="00DC6B4B">
      <w:pPr>
        <w:pStyle w:val="ListParagraph"/>
        <w:numPr>
          <w:ilvl w:val="0"/>
          <w:numId w:val="13"/>
        </w:numPr>
        <w:rPr>
          <w:rStyle w:val="normaltextrun"/>
          <w:rFonts w:ascii="Calibri" w:hAnsi="Calibri" w:cs="Calibri"/>
          <w:color w:val="000000"/>
          <w:shd w:val="clear" w:color="auto" w:fill="FFFFFF"/>
        </w:rPr>
      </w:pPr>
      <w:r w:rsidRPr="00F155C5">
        <w:rPr>
          <w:rStyle w:val="normaltextrun"/>
          <w:rFonts w:ascii="Calibri" w:hAnsi="Calibri" w:cs="Calibri"/>
          <w:color w:val="000000"/>
          <w:shd w:val="clear" w:color="auto" w:fill="FFFFFF"/>
        </w:rPr>
        <w:t>Our overall mean gender bonus pay gap of</w:t>
      </w:r>
      <w:r>
        <w:rPr>
          <w:rStyle w:val="normaltextrun"/>
          <w:rFonts w:ascii="Calibri" w:hAnsi="Calibri" w:cs="Calibri"/>
          <w:color w:val="000000"/>
          <w:shd w:val="clear" w:color="auto" w:fill="FFFFFF"/>
        </w:rPr>
        <w:t xml:space="preserve"> </w:t>
      </w:r>
      <w:r w:rsidRPr="00F155C5">
        <w:rPr>
          <w:rStyle w:val="normaltextrun"/>
          <w:rFonts w:ascii="Calibri" w:hAnsi="Calibri" w:cs="Calibri"/>
          <w:color w:val="000000"/>
          <w:shd w:val="clear" w:color="auto" w:fill="FFFFFF"/>
        </w:rPr>
        <w:t>51.5%</w:t>
      </w:r>
      <w:r>
        <w:rPr>
          <w:rStyle w:val="normaltextrun"/>
          <w:rFonts w:ascii="Calibri" w:hAnsi="Calibri" w:cs="Calibri"/>
          <w:color w:val="000000"/>
          <w:shd w:val="clear" w:color="auto" w:fill="FFFFFF"/>
        </w:rPr>
        <w:t>,</w:t>
      </w:r>
      <w:r w:rsidRPr="00F155C5">
        <w:rPr>
          <w:rStyle w:val="normaltextrun"/>
          <w:rFonts w:ascii="Calibri" w:hAnsi="Calibri" w:cs="Calibri"/>
          <w:color w:val="000000"/>
          <w:shd w:val="clear" w:color="auto" w:fill="FFFFFF"/>
        </w:rPr>
        <w:t xml:space="preserve"> a decrease of 25.0%</w:t>
      </w:r>
      <w:r>
        <w:rPr>
          <w:rStyle w:val="normaltextrun"/>
          <w:rFonts w:ascii="Calibri" w:hAnsi="Calibri" w:cs="Calibri"/>
          <w:color w:val="000000"/>
          <w:shd w:val="clear" w:color="auto" w:fill="FFFFFF"/>
        </w:rPr>
        <w:t>.</w:t>
      </w:r>
    </w:p>
    <w:p w14:paraId="7C2F6A7D" w14:textId="2FDE22C8" w:rsidR="00F155C5" w:rsidRDefault="00F155C5" w:rsidP="00DC6B4B">
      <w:pPr>
        <w:pStyle w:val="ListParagraph"/>
        <w:numPr>
          <w:ilvl w:val="0"/>
          <w:numId w:val="13"/>
        </w:numPr>
        <w:rPr>
          <w:rStyle w:val="normaltextrun"/>
          <w:rFonts w:ascii="Calibri" w:hAnsi="Calibri" w:cs="Calibri"/>
          <w:color w:val="000000"/>
          <w:shd w:val="clear" w:color="auto" w:fill="FFFFFF"/>
        </w:rPr>
      </w:pPr>
      <w:r w:rsidRPr="00F155C5">
        <w:rPr>
          <w:rStyle w:val="normaltextrun"/>
          <w:rFonts w:ascii="Calibri" w:hAnsi="Calibri" w:cs="Calibri"/>
          <w:color w:val="000000"/>
          <w:shd w:val="clear" w:color="auto" w:fill="FFFFFF"/>
        </w:rPr>
        <w:t>The mean ethnicity pay gap among our non-clinical academic colleagues of 13.8% an increase of 0.7% since last year</w:t>
      </w:r>
      <w:r>
        <w:rPr>
          <w:rStyle w:val="normaltextrun"/>
          <w:rFonts w:ascii="Calibri" w:hAnsi="Calibri" w:cs="Calibri"/>
          <w:color w:val="000000"/>
          <w:shd w:val="clear" w:color="auto" w:fill="FFFFFF"/>
        </w:rPr>
        <w:t>.</w:t>
      </w:r>
    </w:p>
    <w:p w14:paraId="77E91198" w14:textId="033BD936" w:rsidR="00F155C5" w:rsidRPr="00F155C5" w:rsidRDefault="00F155C5" w:rsidP="00DC6B4B">
      <w:pPr>
        <w:pStyle w:val="ListParagraph"/>
        <w:numPr>
          <w:ilvl w:val="0"/>
          <w:numId w:val="13"/>
        </w:numPr>
        <w:rPr>
          <w:rStyle w:val="normaltextrun"/>
          <w:rFonts w:ascii="Calibri" w:hAnsi="Calibri" w:cs="Calibri"/>
          <w:color w:val="000000"/>
          <w:shd w:val="clear" w:color="auto" w:fill="FFFFFF"/>
        </w:rPr>
      </w:pPr>
      <w:r w:rsidRPr="00F155C5">
        <w:rPr>
          <w:rStyle w:val="normaltextrun"/>
          <w:rFonts w:ascii="Calibri" w:hAnsi="Calibri" w:cs="Calibri"/>
          <w:color w:val="000000"/>
          <w:shd w:val="clear" w:color="auto" w:fill="FFFFFF"/>
        </w:rPr>
        <w:t>Our mean disability pay gap of 12.9% a slight reduction on last year of 0.2%</w:t>
      </w:r>
      <w:r w:rsidR="00355A5E">
        <w:rPr>
          <w:rStyle w:val="normaltextrun"/>
          <w:rFonts w:ascii="Calibri" w:hAnsi="Calibri" w:cs="Calibri"/>
          <w:color w:val="000000"/>
          <w:shd w:val="clear" w:color="auto" w:fill="FFFFFF"/>
        </w:rPr>
        <w:t>.</w:t>
      </w:r>
    </w:p>
    <w:p w14:paraId="41DF6006" w14:textId="332682F7" w:rsidR="00F155C5" w:rsidRPr="00F155C5" w:rsidRDefault="00355A5E" w:rsidP="00F155C5">
      <w:pPr>
        <w:rPr>
          <w:rStyle w:val="normaltextrun"/>
          <w:rFonts w:ascii="Calibri" w:hAnsi="Calibri" w:cs="Calibri"/>
          <w:color w:val="000000"/>
          <w:shd w:val="clear" w:color="auto" w:fill="FFFFFF"/>
        </w:rPr>
      </w:pPr>
      <w:r w:rsidRPr="00355A5E">
        <w:rPr>
          <w:rStyle w:val="normaltextrun"/>
          <w:rFonts w:ascii="Calibri" w:hAnsi="Calibri" w:cs="Calibri"/>
          <w:color w:val="000000"/>
          <w:shd w:val="clear" w:color="auto" w:fill="FFFFFF"/>
        </w:rPr>
        <w:t>We recognise that there is still not enough improvement in our figures and overall, a mixed set of results this year.  We have invested in some rich data analysis and are looking more closely, as a priority, at specific occupational groups where the pay gaps are over 5%. Additionally, we have embarked on our Equal Pay Review which will complement our work and actions on pay gap concerns. Undoubtedly, we anticipate further actions we can take to reduce the pay gaps, and these will align with our Institutional Athena Swan Action Plan and REC Action Plan.</w:t>
      </w:r>
    </w:p>
    <w:p w14:paraId="58671441" w14:textId="77777777" w:rsidR="00492495" w:rsidRDefault="00492495" w:rsidP="00E229F7">
      <w:pPr>
        <w:rPr>
          <w:rStyle w:val="normaltextrun"/>
          <w:rFonts w:ascii="Calibri" w:hAnsi="Calibri" w:cs="Calibri"/>
          <w:color w:val="000000"/>
          <w:shd w:val="clear" w:color="auto" w:fill="FFFFFF"/>
        </w:rPr>
      </w:pPr>
    </w:p>
    <w:p w14:paraId="17CEA0CE" w14:textId="77777777" w:rsidR="00AD024B" w:rsidRDefault="00AD024B" w:rsidP="000438AE">
      <w:pPr>
        <w:rPr>
          <w:rStyle w:val="eop"/>
          <w:rFonts w:ascii="Calibri" w:hAnsi="Calibri" w:cs="Calibri"/>
          <w:b/>
          <w:bCs/>
          <w:color w:val="000000"/>
          <w:shd w:val="clear" w:color="auto" w:fill="FFFFFF"/>
        </w:rPr>
      </w:pPr>
    </w:p>
    <w:p w14:paraId="5E989E54" w14:textId="3D88471A" w:rsidR="00121FCD" w:rsidRDefault="00121FCD" w:rsidP="3C4DAE66"/>
    <w:p w14:paraId="301C9633" w14:textId="77777777" w:rsidR="00751E3D" w:rsidRPr="007271D8" w:rsidRDefault="00751E3D" w:rsidP="3C4DAE66"/>
    <w:p w14:paraId="69F34B71" w14:textId="77777777" w:rsidR="002B0C36" w:rsidRDefault="002B0C36">
      <w:pPr>
        <w:rPr>
          <w:rFonts w:asciiTheme="majorHAnsi" w:eastAsiaTheme="majorEastAsia" w:hAnsiTheme="majorHAnsi" w:cstheme="majorBidi"/>
          <w:b/>
          <w:bCs/>
          <w:color w:val="2F5496" w:themeColor="accent1" w:themeShade="BF"/>
          <w:sz w:val="32"/>
          <w:szCs w:val="32"/>
        </w:rPr>
      </w:pPr>
      <w:bookmarkStart w:id="11" w:name="_Toc86832878"/>
      <w:r>
        <w:rPr>
          <w:b/>
          <w:bCs/>
        </w:rPr>
        <w:br w:type="page"/>
      </w:r>
    </w:p>
    <w:p w14:paraId="65DBB6CB" w14:textId="78C3B95D" w:rsidR="00121FCD" w:rsidRDefault="00121FCD" w:rsidP="00DC6B4B">
      <w:pPr>
        <w:pStyle w:val="Heading1"/>
        <w:numPr>
          <w:ilvl w:val="0"/>
          <w:numId w:val="3"/>
        </w:numPr>
        <w:rPr>
          <w:b/>
          <w:bCs/>
        </w:rPr>
      </w:pPr>
      <w:bookmarkStart w:id="12" w:name="_Toc94185396"/>
      <w:r w:rsidRPr="3C4DAE66">
        <w:rPr>
          <w:b/>
          <w:bCs/>
        </w:rPr>
        <w:lastRenderedPageBreak/>
        <w:t>Introduction</w:t>
      </w:r>
      <w:bookmarkEnd w:id="11"/>
      <w:bookmarkEnd w:id="12"/>
      <w:r w:rsidR="001E768F">
        <w:rPr>
          <w:b/>
          <w:bCs/>
        </w:rPr>
        <w:t xml:space="preserve"> </w:t>
      </w:r>
    </w:p>
    <w:p w14:paraId="778E5ADE" w14:textId="77777777" w:rsidR="00A0114C" w:rsidRPr="00A0114C" w:rsidRDefault="00A0114C" w:rsidP="00A0114C"/>
    <w:p w14:paraId="2947CEDB" w14:textId="77777777" w:rsidR="00355A5E" w:rsidRDefault="00355A5E" w:rsidP="00304850">
      <w:r w:rsidRPr="00355A5E">
        <w:t>I am pleased to introduce Newcastle University’s 2021-22 Equality, Diversity and Inclusion Annual Report. In this year’s report, we provide a comprehensive summary of our equality and diversity data, an update on our progress against our Public Sector Equality Duty Equality Objectives and our equality, diversity and inclusion (EDI) priorities for the year ahead. The work set out in this report directly responds to EDI being one of the University’s core values.</w:t>
      </w:r>
    </w:p>
    <w:p w14:paraId="5023D89D" w14:textId="58F78141" w:rsidR="00304850" w:rsidRPr="00304850" w:rsidRDefault="00355A5E" w:rsidP="00304850">
      <w:r w:rsidRPr="00355A5E">
        <w:t>Existing and new global challenges have marked the past 12 months. We continue to address the effects of the COVID-19 pandemic to try to limit its impact on colleagues and students. The war in Ukraine has impacted in so many ways. As a University of Sanctuary, we had a framework in place that has helped us to respond. With investment by the Development Trust, we have supported more sanctuary scholarships and academics within the Council for At Risk Academics (CARA) network.</w:t>
      </w:r>
      <w:r w:rsidR="00304850" w:rsidRPr="00304850">
        <w:t xml:space="preserve"> </w:t>
      </w:r>
    </w:p>
    <w:p w14:paraId="1555EE3C" w14:textId="1895B30A" w:rsidR="00355A5E" w:rsidRDefault="00355A5E" w:rsidP="00355A5E">
      <w:r>
        <w:t xml:space="preserve">There have been many successes and reasons to be proud of the work we are doing. We have continued our race equality work and a particular highlight is the gaining of a Bronze Award from Advance HE’s Race Equality Charter. We will continue to progress our race equality work and deliver on our ambitious action plan. We have joined the Disability Confident scheme. Responding to student and colleague feedback, we have introduced key changes to the reporting of hate crime, discrimination, harassment, and victimisation. We have streamlined our approach to Equality Analysis and are advising teams on how to adopt Equality Analysis into all new strategic and change projects. Training is a key element of our work and over the past 12 months we have continued to roll out the delivery of Be an Active Bystander, White Privilege and Anti-racism and Allyship training. Our Inclusive Futures Leadership programme received the CIPD </w:t>
      </w:r>
      <w:proofErr w:type="gramStart"/>
      <w:r>
        <w:t>North East</w:t>
      </w:r>
      <w:proofErr w:type="gramEnd"/>
      <w:r>
        <w:t xml:space="preserve"> Award for excellence in Inclusivity and Diversity 2022 and was shortlisted for a Times Higher Education Award for Outstanding Contribution to EDI. Following a student-led campaign, we joined the Lift the Ban Coalition, working to lift the ban on people seeking asylum being able to work. We continue to work closely with colleagues and students at our two overseas campuses in Malaysia and Singapore. </w:t>
      </w:r>
    </w:p>
    <w:p w14:paraId="71AB0937" w14:textId="3EDE8CB3" w:rsidR="00355A5E" w:rsidRDefault="00355A5E" w:rsidP="00355A5E">
      <w:r>
        <w:t xml:space="preserve">This year saw success in gaining external funding to deliver our EDI work, including funding for national consultation work in EDI accreditation and, as part of a </w:t>
      </w:r>
      <w:proofErr w:type="gramStart"/>
      <w:r>
        <w:t>North East</w:t>
      </w:r>
      <w:proofErr w:type="gramEnd"/>
      <w:r>
        <w:t xml:space="preserve"> University network, Office for Students funding to undertake a research project which aims to increase representation of students from minoritised groups in postgraduate studies. </w:t>
      </w:r>
    </w:p>
    <w:p w14:paraId="1D47CE4D" w14:textId="1D26D570" w:rsidR="00355A5E" w:rsidRDefault="00355A5E" w:rsidP="00355A5E">
      <w:r>
        <w:t>A number of challenges to drive lasting change in EDI still remain. Our gender pay gap remains high. We have enhanced our promotions process and have seen an increase in the number of females being promoted to Professor. However, this is an area where we need ambitious actions if we are to narrow the gaps and meet one of our Athena Swan priorities. In terms of our EDI data, data sharing rates remain low in some areas; one of our priorities for 2022-23 is to develop further campaigns to promote sharing of EDI information by colleagues.</w:t>
      </w:r>
    </w:p>
    <w:p w14:paraId="29A45288" w14:textId="6C8DF4EE" w:rsidR="00355A5E" w:rsidRDefault="00355A5E" w:rsidP="00355A5E">
      <w:r>
        <w:t xml:space="preserve">I hope you find this summary of our key activities against our EDI priorities of interest and value.  Our Executive Board continue to provide their support and commitment to this work. Many individuals have contributed to this report including colleagues from across the EDI team, our EDI Networks, Inclusive Newcastle, Student Health and Wellbeing and our student leaders. I would like to thank all for their contributions not only to this report but for the important role they play in advancing EDI across Newcastle University. </w:t>
      </w:r>
    </w:p>
    <w:p w14:paraId="31FEF665" w14:textId="60A282B9" w:rsidR="00304850" w:rsidRPr="00304850" w:rsidRDefault="00355A5E" w:rsidP="00355A5E">
      <w:r>
        <w:t xml:space="preserve">Prof Judith Rankin, Dean of Equality, Diversity and Inclusion </w:t>
      </w:r>
    </w:p>
    <w:p w14:paraId="30A6D1CC" w14:textId="65975EFE" w:rsidR="00121FCD" w:rsidRPr="007271D8" w:rsidRDefault="00121FCD" w:rsidP="00DC6B4B">
      <w:pPr>
        <w:pStyle w:val="Heading1"/>
        <w:numPr>
          <w:ilvl w:val="0"/>
          <w:numId w:val="3"/>
        </w:numPr>
        <w:rPr>
          <w:b/>
          <w:bCs/>
        </w:rPr>
      </w:pPr>
      <w:bookmarkStart w:id="13" w:name="_Toc86832883"/>
      <w:bookmarkStart w:id="14" w:name="_Toc94185401"/>
      <w:r w:rsidRPr="3C4DAE66">
        <w:rPr>
          <w:b/>
          <w:bCs/>
        </w:rPr>
        <w:lastRenderedPageBreak/>
        <w:t xml:space="preserve">Key areas of progress in </w:t>
      </w:r>
      <w:bookmarkEnd w:id="13"/>
      <w:bookmarkEnd w:id="14"/>
      <w:r w:rsidR="00355A5E">
        <w:rPr>
          <w:b/>
          <w:bCs/>
        </w:rPr>
        <w:t>2021-22</w:t>
      </w:r>
      <w:r w:rsidR="00D6491F" w:rsidRPr="3C4DAE66">
        <w:rPr>
          <w:b/>
          <w:bCs/>
        </w:rPr>
        <w:t xml:space="preserve"> </w:t>
      </w:r>
    </w:p>
    <w:p w14:paraId="18DE9298" w14:textId="2A1B7B36" w:rsidR="53766C39" w:rsidRDefault="53766C39" w:rsidP="53766C39"/>
    <w:p w14:paraId="5BD34219" w14:textId="62F8F1A9" w:rsidR="00355A5E" w:rsidRDefault="00355A5E" w:rsidP="00355A5E">
      <w:r>
        <w:t xml:space="preserve">This section sets out highlights from our activity over the past academic year (AY) as well as priorities for AY 2022-23. It is structured around our Public Sector Equality Duty (PSED) Equality Objectives 2020-2024 to demonstrate the progress we have made against these strategic objectives, which align with and support our </w:t>
      </w:r>
      <w:hyperlink r:id="rId11">
        <w:r w:rsidRPr="00355A5E">
          <w:rPr>
            <w:rStyle w:val="Hyperlink"/>
          </w:rPr>
          <w:t>EDI Strategy</w:t>
        </w:r>
      </w:hyperlink>
      <w:r>
        <w:t>. It does not capture all that we have done in relation to EDI but instead provides a selection of activity aligned to our objectives. We also include sections to highlight the work that has taken place in our three faculties, as well as the activities of our EDI networks and Chaplaincy Service.</w:t>
      </w:r>
    </w:p>
    <w:p w14:paraId="035BCE2B" w14:textId="77777777" w:rsidR="003D2D84" w:rsidRDefault="003D2D84" w:rsidP="00355A5E"/>
    <w:p w14:paraId="2C038165" w14:textId="334E5E02" w:rsidR="00FE5800" w:rsidRPr="00B77089" w:rsidRDefault="07928DA7" w:rsidP="00DC6B4B">
      <w:pPr>
        <w:pStyle w:val="Heading2"/>
        <w:numPr>
          <w:ilvl w:val="0"/>
          <w:numId w:val="2"/>
        </w:numPr>
        <w:rPr>
          <w:b/>
          <w:bCs/>
        </w:rPr>
      </w:pPr>
      <w:bookmarkStart w:id="15" w:name="_Toc86832884"/>
      <w:bookmarkStart w:id="16" w:name="_Toc94185402"/>
      <w:r w:rsidRPr="5021B1A8">
        <w:rPr>
          <w:b/>
          <w:bCs/>
        </w:rPr>
        <w:t>Further develop an i</w:t>
      </w:r>
      <w:r w:rsidR="00FE5800" w:rsidRPr="5021B1A8">
        <w:rPr>
          <w:b/>
          <w:bCs/>
        </w:rPr>
        <w:t>nclusive culture</w:t>
      </w:r>
      <w:r w:rsidR="46889A0B" w:rsidRPr="5021B1A8">
        <w:rPr>
          <w:b/>
          <w:bCs/>
        </w:rPr>
        <w:t xml:space="preserve">, and one which does not tolerate hate crime, discrimination, victimisation </w:t>
      </w:r>
      <w:r w:rsidR="3A872C01" w:rsidRPr="5021B1A8">
        <w:rPr>
          <w:b/>
          <w:bCs/>
        </w:rPr>
        <w:t>or</w:t>
      </w:r>
      <w:r w:rsidR="46889A0B" w:rsidRPr="5021B1A8">
        <w:rPr>
          <w:b/>
          <w:bCs/>
        </w:rPr>
        <w:t xml:space="preserve"> harassment</w:t>
      </w:r>
      <w:bookmarkEnd w:id="15"/>
      <w:bookmarkEnd w:id="16"/>
    </w:p>
    <w:p w14:paraId="5C8A1B07" w14:textId="3C990A82" w:rsidR="53766C39" w:rsidRPr="00B6497A" w:rsidRDefault="53766C39" w:rsidP="53766C39"/>
    <w:p w14:paraId="01F45CD3" w14:textId="7DEF9095" w:rsidR="6077397D" w:rsidRDefault="6077397D" w:rsidP="53766C39">
      <w:pPr>
        <w:pStyle w:val="Heading3"/>
        <w:rPr>
          <w:rFonts w:ascii="Calibri Light" w:hAnsi="Calibri Light"/>
          <w:b/>
          <w:bCs/>
          <w:color w:val="1F3763"/>
        </w:rPr>
      </w:pPr>
      <w:bookmarkStart w:id="17" w:name="_Toc86832885"/>
      <w:bookmarkStart w:id="18" w:name="_Toc87435053"/>
      <w:bookmarkStart w:id="19" w:name="_Toc87856794"/>
      <w:bookmarkStart w:id="20" w:name="_Toc94185403"/>
      <w:r w:rsidRPr="0EE17C8D">
        <w:rPr>
          <w:b/>
          <w:bCs/>
        </w:rPr>
        <w:t>Background to this objective</w:t>
      </w:r>
      <w:bookmarkEnd w:id="17"/>
      <w:bookmarkEnd w:id="18"/>
      <w:bookmarkEnd w:id="19"/>
      <w:bookmarkEnd w:id="20"/>
    </w:p>
    <w:p w14:paraId="0AFE6E82" w14:textId="1AC7F2E5" w:rsidR="5124CAF9" w:rsidRDefault="003D2D84" w:rsidP="0EE17C8D">
      <w:r w:rsidRPr="003D2D84">
        <w:t>The University’s overall EDI aim is to develop a fully inclusive global University community in which colleagues and students from all sectors of society can thrive equally. We strive to create a respectful, inclusive campus environment where everyone can feel inspired to make a difference and where bullying and harassment, sexual violence, discrimination and hate crime is challenged, reported and action taken.</w:t>
      </w:r>
      <w:r w:rsidR="1043C6DC">
        <w:t xml:space="preserve"> </w:t>
      </w:r>
      <w:r w:rsidR="703A1AE2">
        <w:t xml:space="preserve"> </w:t>
      </w:r>
    </w:p>
    <w:p w14:paraId="5FD5C853" w14:textId="77BCA100" w:rsidR="6340259C" w:rsidRDefault="2A7D27FC" w:rsidP="0EFFAC96">
      <w:pPr>
        <w:pStyle w:val="Heading3"/>
        <w:rPr>
          <w:rFonts w:ascii="Calibri Light" w:eastAsia="Yu Gothic Light" w:hAnsi="Calibri Light" w:cs="Times New Roman"/>
          <w:b/>
          <w:bCs/>
          <w:color w:val="1F3763"/>
        </w:rPr>
      </w:pPr>
      <w:bookmarkStart w:id="21" w:name="_Toc86832886"/>
      <w:bookmarkStart w:id="22" w:name="_Toc87435054"/>
      <w:bookmarkStart w:id="23" w:name="_Toc87856795"/>
      <w:bookmarkStart w:id="24" w:name="_Toc94185404"/>
      <w:r w:rsidRPr="0EE17C8D">
        <w:rPr>
          <w:b/>
          <w:bCs/>
        </w:rPr>
        <w:t>Tackling hate crime, discrimination, harassment, and victimisation</w:t>
      </w:r>
      <w:bookmarkEnd w:id="21"/>
      <w:bookmarkEnd w:id="22"/>
      <w:bookmarkEnd w:id="23"/>
      <w:bookmarkEnd w:id="24"/>
    </w:p>
    <w:p w14:paraId="5247E094" w14:textId="03825EE3" w:rsidR="6A26FC3B" w:rsidRDefault="003D2D84" w:rsidP="0EE17C8D">
      <w:r w:rsidRPr="003D2D84">
        <w:t>Listening to feedback from students and colleagues has led to some key changes to our provision and processes for reporting hate crime, discrimination, harassment, and victimisation. Highlights include:</w:t>
      </w:r>
    </w:p>
    <w:p w14:paraId="7BCF1E6D" w14:textId="70D96928" w:rsidR="003D2D84" w:rsidRPr="003D2D84" w:rsidRDefault="003D2D84" w:rsidP="00DC6B4B">
      <w:pPr>
        <w:pStyle w:val="ListParagraph"/>
        <w:numPr>
          <w:ilvl w:val="0"/>
          <w:numId w:val="14"/>
        </w:numPr>
        <w:rPr>
          <w:rFonts w:ascii="Calibri" w:eastAsia="Calibri" w:hAnsi="Calibri" w:cs="Calibri"/>
        </w:rPr>
      </w:pPr>
      <w:r w:rsidRPr="003D2D84">
        <w:rPr>
          <w:rFonts w:ascii="Calibri" w:eastAsia="Calibri" w:hAnsi="Calibri" w:cs="Calibri"/>
        </w:rPr>
        <w:t>A new University disclosure and referral pathway has replaced the previous Report and Support tool, which has helped reduce barriers to reporting and accessing support.</w:t>
      </w:r>
    </w:p>
    <w:p w14:paraId="53CF2745" w14:textId="355807ED" w:rsidR="003D2D84" w:rsidRPr="003D2D84" w:rsidRDefault="003D2D84" w:rsidP="00DC6B4B">
      <w:pPr>
        <w:pStyle w:val="ListParagraph"/>
        <w:numPr>
          <w:ilvl w:val="0"/>
          <w:numId w:val="14"/>
        </w:numPr>
        <w:rPr>
          <w:rFonts w:ascii="Calibri" w:eastAsia="Calibri" w:hAnsi="Calibri" w:cs="Calibri"/>
        </w:rPr>
      </w:pPr>
      <w:r w:rsidRPr="003D2D84">
        <w:rPr>
          <w:rFonts w:ascii="Calibri" w:eastAsia="Calibri" w:hAnsi="Calibri" w:cs="Calibri"/>
        </w:rPr>
        <w:t>The appointment of a specialist Male Sexual Violence Therapist to ensure that male survivors have parity of care with other genders.</w:t>
      </w:r>
    </w:p>
    <w:p w14:paraId="4D225CA7" w14:textId="41017A8F" w:rsidR="003D2D84" w:rsidRPr="003D2D84" w:rsidRDefault="003D2D84" w:rsidP="00DC6B4B">
      <w:pPr>
        <w:pStyle w:val="ListParagraph"/>
        <w:numPr>
          <w:ilvl w:val="0"/>
          <w:numId w:val="14"/>
        </w:numPr>
        <w:rPr>
          <w:rFonts w:ascii="Calibri" w:eastAsia="Calibri" w:hAnsi="Calibri" w:cs="Calibri"/>
        </w:rPr>
      </w:pPr>
      <w:r w:rsidRPr="003D2D84">
        <w:rPr>
          <w:rFonts w:ascii="Calibri" w:eastAsia="Calibri" w:hAnsi="Calibri" w:cs="Calibri"/>
        </w:rPr>
        <w:t>Training for all NUSU affiliated club and society Welfare Officers in Hate Crime and Sexual Violence Awareness.</w:t>
      </w:r>
    </w:p>
    <w:p w14:paraId="099F3020" w14:textId="1722E5FE" w:rsidR="3FD4B589" w:rsidRPr="003D2D84" w:rsidRDefault="003D2D84" w:rsidP="00DC6B4B">
      <w:pPr>
        <w:pStyle w:val="ListParagraph"/>
        <w:numPr>
          <w:ilvl w:val="0"/>
          <w:numId w:val="14"/>
        </w:numPr>
        <w:rPr>
          <w:rFonts w:eastAsiaTheme="minorEastAsia"/>
        </w:rPr>
      </w:pPr>
      <w:r w:rsidRPr="003D2D84">
        <w:rPr>
          <w:rFonts w:ascii="Calibri" w:eastAsia="Calibri" w:hAnsi="Calibri" w:cs="Calibri"/>
        </w:rPr>
        <w:t>Commissioning a new animation exploring the Capacity to Consent which has been shared with all new students, as well as across other HE institutions</w:t>
      </w:r>
      <w:r>
        <w:rPr>
          <w:rFonts w:ascii="Calibri" w:eastAsia="Calibri" w:hAnsi="Calibri" w:cs="Calibri"/>
        </w:rPr>
        <w:t>.</w:t>
      </w:r>
    </w:p>
    <w:p w14:paraId="77D12539" w14:textId="4DC3755C" w:rsidR="003D2D84" w:rsidRPr="003D2D84" w:rsidRDefault="003D2D84" w:rsidP="00DC6B4B">
      <w:pPr>
        <w:pStyle w:val="ListParagraph"/>
        <w:numPr>
          <w:ilvl w:val="0"/>
          <w:numId w:val="14"/>
        </w:numPr>
        <w:rPr>
          <w:rFonts w:eastAsiaTheme="minorEastAsia"/>
        </w:rPr>
      </w:pPr>
      <w:r w:rsidRPr="003D2D84">
        <w:rPr>
          <w:rFonts w:eastAsiaTheme="minorEastAsia"/>
        </w:rPr>
        <w:t>A new data collection and analysis process across Student Health and Wellbeing Services, People Services, and the Student Advice Centre</w:t>
      </w:r>
      <w:r w:rsidR="005320DD">
        <w:rPr>
          <w:rFonts w:eastAsiaTheme="minorEastAsia"/>
        </w:rPr>
        <w:t>.</w:t>
      </w:r>
    </w:p>
    <w:p w14:paraId="2D8DEE93" w14:textId="77777777" w:rsidR="003D2D84" w:rsidRPr="003D2D84" w:rsidRDefault="003D2D84" w:rsidP="00DC6B4B">
      <w:pPr>
        <w:pStyle w:val="ListParagraph"/>
        <w:numPr>
          <w:ilvl w:val="0"/>
          <w:numId w:val="14"/>
        </w:numPr>
        <w:rPr>
          <w:rFonts w:eastAsiaTheme="minorEastAsia"/>
        </w:rPr>
      </w:pPr>
      <w:r w:rsidRPr="003D2D84">
        <w:rPr>
          <w:rFonts w:eastAsiaTheme="minorEastAsia"/>
        </w:rPr>
        <w:t>in NUSU has been established to improve monitoring of incidents and develop preventative strategies.</w:t>
      </w:r>
    </w:p>
    <w:p w14:paraId="39064269" w14:textId="7701425C" w:rsidR="003D2D84" w:rsidRPr="003D2D84" w:rsidRDefault="003D2D84" w:rsidP="00DC6B4B">
      <w:pPr>
        <w:pStyle w:val="ListParagraph"/>
        <w:numPr>
          <w:ilvl w:val="0"/>
          <w:numId w:val="14"/>
        </w:numPr>
        <w:rPr>
          <w:rFonts w:eastAsiaTheme="minorEastAsia"/>
        </w:rPr>
      </w:pPr>
      <w:r w:rsidRPr="003D2D84">
        <w:rPr>
          <w:rFonts w:eastAsiaTheme="minorEastAsia"/>
        </w:rPr>
        <w:t>Introducing a sexual misconduct procedure and a hate related misconduct procedure as part of the colleague disciplinary policy.</w:t>
      </w:r>
    </w:p>
    <w:p w14:paraId="402E9B26" w14:textId="065066C6" w:rsidR="003D2D84" w:rsidRPr="003D2D84" w:rsidRDefault="003D2D84" w:rsidP="00DC6B4B">
      <w:pPr>
        <w:pStyle w:val="ListParagraph"/>
        <w:numPr>
          <w:ilvl w:val="0"/>
          <w:numId w:val="14"/>
        </w:numPr>
        <w:rPr>
          <w:rFonts w:eastAsiaTheme="minorEastAsia"/>
        </w:rPr>
      </w:pPr>
      <w:r w:rsidRPr="003D2D84">
        <w:rPr>
          <w:rFonts w:eastAsiaTheme="minorEastAsia"/>
        </w:rPr>
        <w:t>Introducing a ban on personal relationships between colleagues and students where there is direct supervision.</w:t>
      </w:r>
    </w:p>
    <w:p w14:paraId="30DE0024" w14:textId="2EA71957" w:rsidR="003D2D84" w:rsidRDefault="003D2D84" w:rsidP="00DC6B4B">
      <w:pPr>
        <w:pStyle w:val="ListParagraph"/>
        <w:numPr>
          <w:ilvl w:val="0"/>
          <w:numId w:val="14"/>
        </w:numPr>
        <w:rPr>
          <w:rFonts w:eastAsiaTheme="minorEastAsia"/>
        </w:rPr>
      </w:pPr>
      <w:r w:rsidRPr="003D2D84">
        <w:rPr>
          <w:rFonts w:eastAsiaTheme="minorEastAsia"/>
        </w:rPr>
        <w:t>Re-branding our student support offer as Survivor Support Service, reducing barriers to access and help-seeking.</w:t>
      </w:r>
    </w:p>
    <w:p w14:paraId="12182A1F" w14:textId="77777777" w:rsidR="005320DD" w:rsidRDefault="005320DD" w:rsidP="0EE17C8D">
      <w:pPr>
        <w:rPr>
          <w:rFonts w:ascii="Calibri" w:eastAsia="Calibri" w:hAnsi="Calibri" w:cs="Calibri"/>
          <w:b/>
          <w:bCs/>
        </w:rPr>
      </w:pPr>
    </w:p>
    <w:p w14:paraId="34902235" w14:textId="5E7A3A37" w:rsidR="5748702A" w:rsidRPr="0095264E" w:rsidRDefault="5748702A" w:rsidP="0EE17C8D">
      <w:pPr>
        <w:rPr>
          <w:rFonts w:ascii="Calibri" w:eastAsia="Calibri" w:hAnsi="Calibri" w:cs="Calibri"/>
          <w:b/>
          <w:bCs/>
        </w:rPr>
      </w:pPr>
      <w:r w:rsidRPr="0095264E">
        <w:rPr>
          <w:rFonts w:ascii="Calibri" w:eastAsia="Calibri" w:hAnsi="Calibri" w:cs="Calibri"/>
          <w:b/>
          <w:bCs/>
        </w:rPr>
        <w:lastRenderedPageBreak/>
        <w:t>Priorities 202</w:t>
      </w:r>
      <w:r w:rsidR="003D2D84" w:rsidRPr="0095264E">
        <w:rPr>
          <w:rFonts w:ascii="Calibri" w:eastAsia="Calibri" w:hAnsi="Calibri" w:cs="Calibri"/>
          <w:b/>
          <w:bCs/>
        </w:rPr>
        <w:t>2</w:t>
      </w:r>
      <w:r w:rsidRPr="0095264E">
        <w:rPr>
          <w:rFonts w:ascii="Calibri" w:eastAsia="Calibri" w:hAnsi="Calibri" w:cs="Calibri"/>
          <w:b/>
          <w:bCs/>
        </w:rPr>
        <w:t>/2</w:t>
      </w:r>
      <w:r w:rsidR="003D2D84" w:rsidRPr="0095264E">
        <w:rPr>
          <w:rFonts w:ascii="Calibri" w:eastAsia="Calibri" w:hAnsi="Calibri" w:cs="Calibri"/>
          <w:b/>
          <w:bCs/>
        </w:rPr>
        <w:t>3</w:t>
      </w:r>
      <w:r w:rsidRPr="0095264E">
        <w:rPr>
          <w:rFonts w:ascii="Calibri" w:eastAsia="Calibri" w:hAnsi="Calibri" w:cs="Calibri"/>
          <w:b/>
          <w:bCs/>
        </w:rPr>
        <w:t>:</w:t>
      </w:r>
    </w:p>
    <w:p w14:paraId="5680E41F" w14:textId="08DE6000" w:rsidR="003D2D84" w:rsidRPr="003D2D84" w:rsidRDefault="003D2D84" w:rsidP="00DC6B4B">
      <w:pPr>
        <w:pStyle w:val="ListParagraph"/>
        <w:numPr>
          <w:ilvl w:val="0"/>
          <w:numId w:val="15"/>
        </w:numPr>
        <w:rPr>
          <w:rFonts w:ascii="Calibri" w:eastAsia="Calibri" w:hAnsi="Calibri" w:cs="Calibri"/>
        </w:rPr>
      </w:pPr>
      <w:r w:rsidRPr="003D2D84">
        <w:rPr>
          <w:rFonts w:ascii="Calibri" w:eastAsia="Calibri" w:hAnsi="Calibri" w:cs="Calibri"/>
        </w:rPr>
        <w:t>Reviewing the Dignity and Respect policy and procedure and rename Bullying and Harassment. This is</w:t>
      </w:r>
      <w:r>
        <w:rPr>
          <w:rFonts w:ascii="Calibri" w:eastAsia="Calibri" w:hAnsi="Calibri" w:cs="Calibri"/>
        </w:rPr>
        <w:t xml:space="preserve"> </w:t>
      </w:r>
      <w:r w:rsidRPr="003D2D84">
        <w:rPr>
          <w:rFonts w:ascii="Calibri" w:eastAsia="Calibri" w:hAnsi="Calibri" w:cs="Calibri"/>
        </w:rPr>
        <w:t>to ensure colleagues are clear on our zero-tolerance commitment and how allegations will be managed.</w:t>
      </w:r>
    </w:p>
    <w:p w14:paraId="29BC59FF" w14:textId="14C1C141" w:rsidR="003D2D84" w:rsidRPr="003D2D84" w:rsidRDefault="003D2D84" w:rsidP="00DC6B4B">
      <w:pPr>
        <w:pStyle w:val="ListParagraph"/>
        <w:numPr>
          <w:ilvl w:val="0"/>
          <w:numId w:val="15"/>
        </w:numPr>
        <w:rPr>
          <w:rFonts w:ascii="Calibri" w:eastAsia="Calibri" w:hAnsi="Calibri" w:cs="Calibri"/>
        </w:rPr>
      </w:pPr>
      <w:r w:rsidRPr="003D2D84">
        <w:rPr>
          <w:rFonts w:ascii="Calibri" w:eastAsia="Calibri" w:hAnsi="Calibri" w:cs="Calibri"/>
        </w:rPr>
        <w:t>Further developing our disclosure and referral pathways to continue to reduce barriers to help-seeking so that people can access support.</w:t>
      </w:r>
    </w:p>
    <w:p w14:paraId="39D55238" w14:textId="1EC5CC94" w:rsidR="003D2D84" w:rsidRPr="003D2D84" w:rsidRDefault="003D2D84" w:rsidP="00DC6B4B">
      <w:pPr>
        <w:pStyle w:val="ListParagraph"/>
        <w:numPr>
          <w:ilvl w:val="0"/>
          <w:numId w:val="15"/>
        </w:numPr>
        <w:rPr>
          <w:rFonts w:ascii="Calibri" w:eastAsia="Calibri" w:hAnsi="Calibri" w:cs="Calibri"/>
        </w:rPr>
      </w:pPr>
      <w:r w:rsidRPr="003D2D84">
        <w:rPr>
          <w:rFonts w:ascii="Calibri" w:eastAsia="Calibri" w:hAnsi="Calibri" w:cs="Calibri"/>
        </w:rPr>
        <w:t>Continuing to raise awareness and promote the disclosure and support pathways across the University through a variety of communications and activities.</w:t>
      </w:r>
    </w:p>
    <w:p w14:paraId="44A50634" w14:textId="43189291" w:rsidR="5748702A" w:rsidRDefault="003D2D84" w:rsidP="00DC6B4B">
      <w:pPr>
        <w:pStyle w:val="ListParagraph"/>
        <w:numPr>
          <w:ilvl w:val="0"/>
          <w:numId w:val="15"/>
        </w:numPr>
      </w:pPr>
      <w:r w:rsidRPr="003D2D84">
        <w:rPr>
          <w:rFonts w:ascii="Calibri" w:eastAsia="Calibri" w:hAnsi="Calibri" w:cs="Calibri"/>
        </w:rPr>
        <w:t>To grow the number of Sexual Violence Liaison Officers (SVLOs) to provide support.</w:t>
      </w:r>
    </w:p>
    <w:p w14:paraId="297C2B18" w14:textId="16BC99F5" w:rsidR="2BD274BD" w:rsidRDefault="2BD274BD" w:rsidP="0EFFAC96">
      <w:pPr>
        <w:pStyle w:val="Heading3"/>
        <w:rPr>
          <w:rFonts w:ascii="Calibri Light" w:eastAsia="Yu Gothic Light" w:hAnsi="Calibri Light" w:cs="Times New Roman"/>
          <w:b/>
          <w:bCs/>
          <w:color w:val="1F3763"/>
        </w:rPr>
      </w:pPr>
      <w:bookmarkStart w:id="25" w:name="_Toc86832887"/>
      <w:bookmarkStart w:id="26" w:name="_Toc87435055"/>
      <w:bookmarkStart w:id="27" w:name="_Toc87856796"/>
      <w:bookmarkStart w:id="28" w:name="_Toc94185405"/>
      <w:r w:rsidRPr="0EE17C8D">
        <w:rPr>
          <w:b/>
          <w:bCs/>
        </w:rPr>
        <w:t xml:space="preserve">Newcastle University Students’ Union </w:t>
      </w:r>
      <w:r w:rsidR="5157D2CE" w:rsidRPr="0EE17C8D">
        <w:rPr>
          <w:b/>
          <w:bCs/>
        </w:rPr>
        <w:t>activity</w:t>
      </w:r>
      <w:bookmarkEnd w:id="25"/>
      <w:bookmarkEnd w:id="26"/>
      <w:bookmarkEnd w:id="27"/>
      <w:bookmarkEnd w:id="28"/>
    </w:p>
    <w:p w14:paraId="39050F13" w14:textId="3349BBC9" w:rsidR="00693066" w:rsidRDefault="003D2D84" w:rsidP="00693066">
      <w:r w:rsidRPr="003D2D84">
        <w:t>NUSU has long been active, including through its campaigns, in promoting and enabling an inclusive student experience for all (see further work under objective 4). In 2021-22, NUSU activities included:</w:t>
      </w:r>
    </w:p>
    <w:p w14:paraId="1CEFC4C0" w14:textId="2F00EE40" w:rsidR="003D2D84" w:rsidRDefault="003D2D84" w:rsidP="00DC6B4B">
      <w:pPr>
        <w:pStyle w:val="ListParagraph"/>
        <w:numPr>
          <w:ilvl w:val="0"/>
          <w:numId w:val="16"/>
        </w:numPr>
      </w:pPr>
      <w:r>
        <w:t>Creating a new EDI Strategy and commenced work on the objectives to achieve this including training for colleagues on key areas of EDI.</w:t>
      </w:r>
    </w:p>
    <w:p w14:paraId="355BBA7D" w14:textId="6E40881D" w:rsidR="003D2D84" w:rsidRDefault="003D2D84" w:rsidP="00DC6B4B">
      <w:pPr>
        <w:pStyle w:val="ListParagraph"/>
        <w:numPr>
          <w:ilvl w:val="0"/>
          <w:numId w:val="16"/>
        </w:numPr>
      </w:pPr>
      <w:r>
        <w:t>“Our Black History” campaign, organised and ran by NUSU Welfare and Equality Officer. The campaign included various events and workshops, held both on campus and virtually.</w:t>
      </w:r>
    </w:p>
    <w:p w14:paraId="1B0E24DB" w14:textId="2F9BEFCA" w:rsidR="003D2D84" w:rsidRDefault="003D2D84" w:rsidP="00DC6B4B">
      <w:pPr>
        <w:pStyle w:val="ListParagraph"/>
        <w:numPr>
          <w:ilvl w:val="0"/>
          <w:numId w:val="16"/>
        </w:numPr>
      </w:pPr>
      <w:r>
        <w:t>A mini-series titled “Being Actively Anti-Racist”, which attempted to persuade listeners that it is not enough to simply be ‘not racist’ and instead make the effort to actively stand against racism.</w:t>
      </w:r>
    </w:p>
    <w:p w14:paraId="2AED93B3" w14:textId="39C73DD0" w:rsidR="003D2D84" w:rsidRDefault="003D2D84" w:rsidP="00DC6B4B">
      <w:pPr>
        <w:pStyle w:val="ListParagraph"/>
        <w:numPr>
          <w:ilvl w:val="0"/>
          <w:numId w:val="16"/>
        </w:numPr>
      </w:pPr>
      <w:r>
        <w:t>A Blood Drive event for students from minoritised ethnic backgrounds was held in partnership with We are Donors and the Racial Equality in Medicine Society.</w:t>
      </w:r>
    </w:p>
    <w:p w14:paraId="6FD36171" w14:textId="32F03B7B" w:rsidR="003D2D84" w:rsidRDefault="003D2D84" w:rsidP="00DC6B4B">
      <w:pPr>
        <w:pStyle w:val="ListParagraph"/>
        <w:numPr>
          <w:ilvl w:val="0"/>
          <w:numId w:val="16"/>
        </w:numPr>
      </w:pPr>
      <w:r>
        <w:t>A student campaign resulting in Newcastle University becoming the latest in a growing number of organisations to join the Lift the Ban Coalition.</w:t>
      </w:r>
    </w:p>
    <w:p w14:paraId="1B4E1C85" w14:textId="758FCD10" w:rsidR="003D2D84" w:rsidRDefault="003D2D84" w:rsidP="00DC6B4B">
      <w:pPr>
        <w:pStyle w:val="ListParagraph"/>
        <w:numPr>
          <w:ilvl w:val="0"/>
          <w:numId w:val="16"/>
        </w:numPr>
      </w:pPr>
      <w:r>
        <w:t>Launching a new Welfare &amp; Support Centre and improved mental health support for marginalised groups disproportionally affected by issues exacerbated by the pandemic.</w:t>
      </w:r>
    </w:p>
    <w:p w14:paraId="1EA8E685" w14:textId="1FFF9CC2" w:rsidR="003D2D84" w:rsidRDefault="003D2D84" w:rsidP="00DC6B4B">
      <w:pPr>
        <w:pStyle w:val="ListParagraph"/>
        <w:numPr>
          <w:ilvl w:val="0"/>
          <w:numId w:val="16"/>
        </w:numPr>
      </w:pPr>
      <w:r>
        <w:t>Continuous development work was made on NUSU’s Report and Support system to compliment the University’s process.</w:t>
      </w:r>
    </w:p>
    <w:p w14:paraId="2B9B2A82" w14:textId="6B505792" w:rsidR="003D2D84" w:rsidRDefault="003D2D84" w:rsidP="00DC6B4B">
      <w:pPr>
        <w:pStyle w:val="ListParagraph"/>
        <w:numPr>
          <w:ilvl w:val="0"/>
          <w:numId w:val="16"/>
        </w:numPr>
      </w:pPr>
      <w:r>
        <w:t>Partnering with Rape Crisis Tyneside and Northumberland (RCTN) to provide students with an in-person, safe space to speak to a specialist Young Women’s Independent Sexual Violence Adviser.</w:t>
      </w:r>
    </w:p>
    <w:p w14:paraId="1A56A643" w14:textId="6F204892" w:rsidR="46B4AAA3" w:rsidRPr="0095264E" w:rsidRDefault="46B4AAA3" w:rsidP="003D2D84">
      <w:pPr>
        <w:rPr>
          <w:b/>
          <w:bCs/>
          <w:lang w:val="en-US"/>
        </w:rPr>
      </w:pPr>
      <w:r w:rsidRPr="0095264E">
        <w:rPr>
          <w:b/>
          <w:bCs/>
          <w:lang w:val="en-US"/>
        </w:rPr>
        <w:t>Priorities 202</w:t>
      </w:r>
      <w:r w:rsidR="003D2D84" w:rsidRPr="0095264E">
        <w:rPr>
          <w:b/>
          <w:bCs/>
          <w:lang w:val="en-US"/>
        </w:rPr>
        <w:t>2</w:t>
      </w:r>
      <w:r w:rsidRPr="0095264E">
        <w:rPr>
          <w:b/>
          <w:bCs/>
          <w:lang w:val="en-US"/>
        </w:rPr>
        <w:t>/2</w:t>
      </w:r>
      <w:r w:rsidR="003D2D84" w:rsidRPr="0095264E">
        <w:rPr>
          <w:b/>
          <w:bCs/>
          <w:lang w:val="en-US"/>
        </w:rPr>
        <w:t>3</w:t>
      </w:r>
      <w:r w:rsidRPr="0095264E">
        <w:rPr>
          <w:b/>
          <w:bCs/>
          <w:lang w:val="en-US"/>
        </w:rPr>
        <w:t>:</w:t>
      </w:r>
    </w:p>
    <w:p w14:paraId="7BA5358D" w14:textId="5B0473E8" w:rsidR="003D2D84" w:rsidRPr="003D2D84" w:rsidRDefault="003D2D84" w:rsidP="00DC6B4B">
      <w:pPr>
        <w:pStyle w:val="Heading3"/>
        <w:numPr>
          <w:ilvl w:val="0"/>
          <w:numId w:val="17"/>
        </w:numPr>
        <w:tabs>
          <w:tab w:val="left" w:pos="720"/>
        </w:tabs>
        <w:rPr>
          <w:rFonts w:asciiTheme="minorHAnsi" w:eastAsiaTheme="minorHAnsi" w:hAnsiTheme="minorHAnsi" w:cstheme="minorBidi"/>
          <w:color w:val="auto"/>
          <w:sz w:val="22"/>
          <w:szCs w:val="22"/>
        </w:rPr>
      </w:pPr>
      <w:bookmarkStart w:id="29" w:name="_Toc86832888"/>
      <w:bookmarkStart w:id="30" w:name="_Toc87435056"/>
      <w:bookmarkStart w:id="31" w:name="_Toc87856797"/>
      <w:bookmarkStart w:id="32" w:name="_Toc94185406"/>
      <w:r w:rsidRPr="003D2D84">
        <w:rPr>
          <w:rFonts w:asciiTheme="minorHAnsi" w:eastAsiaTheme="minorHAnsi" w:hAnsiTheme="minorHAnsi" w:cstheme="minorBidi"/>
          <w:color w:val="auto"/>
          <w:sz w:val="22"/>
          <w:szCs w:val="22"/>
        </w:rPr>
        <w:t>Embedding accessibility considerations</w:t>
      </w:r>
      <w:r>
        <w:rPr>
          <w:rFonts w:asciiTheme="minorHAnsi" w:eastAsiaTheme="minorHAnsi" w:hAnsiTheme="minorHAnsi" w:cstheme="minorBidi"/>
          <w:color w:val="auto"/>
          <w:sz w:val="22"/>
          <w:szCs w:val="22"/>
        </w:rPr>
        <w:t xml:space="preserve"> </w:t>
      </w:r>
      <w:r w:rsidRPr="003D2D84">
        <w:rPr>
          <w:rFonts w:asciiTheme="minorHAnsi" w:eastAsiaTheme="minorHAnsi" w:hAnsiTheme="minorHAnsi" w:cstheme="minorBidi"/>
          <w:color w:val="auto"/>
          <w:sz w:val="22"/>
          <w:szCs w:val="22"/>
        </w:rPr>
        <w:t>into volunteering opportunities and activities programmes.</w:t>
      </w:r>
    </w:p>
    <w:p w14:paraId="0C0452FE" w14:textId="19092A01" w:rsidR="003D2D84" w:rsidRPr="003D2D84" w:rsidRDefault="003D2D84" w:rsidP="00DC6B4B">
      <w:pPr>
        <w:pStyle w:val="Heading3"/>
        <w:numPr>
          <w:ilvl w:val="0"/>
          <w:numId w:val="17"/>
        </w:numPr>
        <w:tabs>
          <w:tab w:val="left" w:pos="720"/>
        </w:tabs>
        <w:rPr>
          <w:rFonts w:asciiTheme="minorHAnsi" w:eastAsiaTheme="minorHAnsi" w:hAnsiTheme="minorHAnsi" w:cstheme="minorBidi"/>
          <w:color w:val="auto"/>
          <w:sz w:val="22"/>
          <w:szCs w:val="22"/>
        </w:rPr>
      </w:pPr>
      <w:r w:rsidRPr="003D2D84">
        <w:rPr>
          <w:rFonts w:asciiTheme="minorHAnsi" w:eastAsiaTheme="minorHAnsi" w:hAnsiTheme="minorHAnsi" w:cstheme="minorBidi"/>
          <w:color w:val="auto"/>
          <w:sz w:val="22"/>
          <w:szCs w:val="22"/>
        </w:rPr>
        <w:t>Developing and embedding Equality Analysis into all new strategic and change projects.</w:t>
      </w:r>
    </w:p>
    <w:p w14:paraId="1CF09BFD" w14:textId="1D5269F7" w:rsidR="003D2D84" w:rsidRPr="003D2D84" w:rsidRDefault="003D2D84" w:rsidP="00DC6B4B">
      <w:pPr>
        <w:pStyle w:val="Heading3"/>
        <w:numPr>
          <w:ilvl w:val="0"/>
          <w:numId w:val="17"/>
        </w:numPr>
        <w:tabs>
          <w:tab w:val="left" w:pos="720"/>
        </w:tabs>
        <w:rPr>
          <w:rFonts w:asciiTheme="minorHAnsi" w:eastAsiaTheme="minorHAnsi" w:hAnsiTheme="minorHAnsi" w:cstheme="minorBidi"/>
          <w:color w:val="auto"/>
          <w:sz w:val="22"/>
          <w:szCs w:val="22"/>
        </w:rPr>
      </w:pPr>
      <w:r w:rsidRPr="003D2D84">
        <w:rPr>
          <w:rFonts w:asciiTheme="minorHAnsi" w:eastAsiaTheme="minorHAnsi" w:hAnsiTheme="minorHAnsi" w:cstheme="minorBidi"/>
          <w:color w:val="auto"/>
          <w:sz w:val="22"/>
          <w:szCs w:val="22"/>
        </w:rPr>
        <w:t>Making new funding available to Clubs and Societies to deliver new activities that improve accessibility and inclusion as part of the ‘Earn Your Stars and Stripes’ scheme.</w:t>
      </w:r>
    </w:p>
    <w:p w14:paraId="1602FAEC" w14:textId="77777777" w:rsidR="003D2D84" w:rsidRDefault="003D2D84" w:rsidP="00DC6B4B">
      <w:pPr>
        <w:pStyle w:val="Heading3"/>
        <w:numPr>
          <w:ilvl w:val="0"/>
          <w:numId w:val="17"/>
        </w:numPr>
        <w:tabs>
          <w:tab w:val="left" w:pos="720"/>
        </w:tabs>
        <w:rPr>
          <w:rFonts w:asciiTheme="minorHAnsi" w:eastAsiaTheme="minorHAnsi" w:hAnsiTheme="minorHAnsi" w:cstheme="minorBidi"/>
          <w:color w:val="auto"/>
          <w:sz w:val="22"/>
          <w:szCs w:val="22"/>
        </w:rPr>
      </w:pPr>
      <w:r w:rsidRPr="003D2D84">
        <w:rPr>
          <w:rFonts w:asciiTheme="minorHAnsi" w:eastAsiaTheme="minorHAnsi" w:hAnsiTheme="minorHAnsi" w:cstheme="minorBidi"/>
          <w:color w:val="auto"/>
          <w:sz w:val="22"/>
          <w:szCs w:val="22"/>
        </w:rPr>
        <w:t>Implementing plans for an accessible Safe Space room for students from our university LGBTQ+ community.</w:t>
      </w:r>
    </w:p>
    <w:p w14:paraId="22ADF59D" w14:textId="77777777" w:rsidR="003D2D84" w:rsidRDefault="003D2D84" w:rsidP="00B6497A"/>
    <w:p w14:paraId="79D2A905" w14:textId="0B60FBF1" w:rsidR="5A8033AB" w:rsidRDefault="5A8033AB" w:rsidP="003D2D84">
      <w:pPr>
        <w:pStyle w:val="Heading3"/>
        <w:tabs>
          <w:tab w:val="left" w:pos="720"/>
        </w:tabs>
        <w:rPr>
          <w:b/>
          <w:bCs/>
        </w:rPr>
      </w:pPr>
      <w:r w:rsidRPr="0EE17C8D">
        <w:rPr>
          <w:b/>
          <w:bCs/>
        </w:rPr>
        <w:t xml:space="preserve">Culture and </w:t>
      </w:r>
      <w:r w:rsidR="16C7386E" w:rsidRPr="0EE17C8D">
        <w:rPr>
          <w:b/>
          <w:bCs/>
        </w:rPr>
        <w:t>v</w:t>
      </w:r>
      <w:r w:rsidRPr="0EE17C8D">
        <w:rPr>
          <w:b/>
          <w:bCs/>
        </w:rPr>
        <w:t>alues</w:t>
      </w:r>
      <w:r w:rsidR="25F3A3F6" w:rsidRPr="0EE17C8D">
        <w:rPr>
          <w:b/>
          <w:bCs/>
        </w:rPr>
        <w:t xml:space="preserve"> work</w:t>
      </w:r>
      <w:bookmarkEnd w:id="29"/>
      <w:bookmarkEnd w:id="30"/>
      <w:bookmarkEnd w:id="31"/>
      <w:bookmarkEnd w:id="32"/>
    </w:p>
    <w:p w14:paraId="448B736F" w14:textId="6524398B" w:rsidR="6E3076D8" w:rsidRDefault="003D2D84" w:rsidP="0EE17C8D">
      <w:pPr>
        <w:tabs>
          <w:tab w:val="left" w:pos="720"/>
        </w:tabs>
      </w:pPr>
      <w:r w:rsidRPr="003D2D84">
        <w:t>Enabling all our people to live our values and foster an inclusive culture is being developed as part of our culture and values work. Highlights in 2021-22 included:</w:t>
      </w:r>
    </w:p>
    <w:p w14:paraId="6789CBF6" w14:textId="17423C66" w:rsidR="003D2D84" w:rsidRPr="003D2D84" w:rsidRDefault="003D2D84" w:rsidP="00DC6B4B">
      <w:pPr>
        <w:pStyle w:val="ListParagraph"/>
        <w:numPr>
          <w:ilvl w:val="0"/>
          <w:numId w:val="18"/>
        </w:numPr>
        <w:rPr>
          <w:rFonts w:ascii="Calibri" w:eastAsia="Calibri" w:hAnsi="Calibri" w:cs="Calibri"/>
        </w:rPr>
      </w:pPr>
      <w:r w:rsidRPr="003D2D84">
        <w:rPr>
          <w:rFonts w:ascii="Calibri" w:eastAsia="Calibri" w:hAnsi="Calibri" w:cs="Calibri"/>
        </w:rPr>
        <w:t>Delivering our Leading through Values (LTVs) programme to over 150 leaders.</w:t>
      </w:r>
    </w:p>
    <w:p w14:paraId="2C6277C8" w14:textId="308341E4" w:rsidR="003D2D84" w:rsidRPr="003D2D84" w:rsidRDefault="003D2D84" w:rsidP="00DC6B4B">
      <w:pPr>
        <w:pStyle w:val="ListParagraph"/>
        <w:numPr>
          <w:ilvl w:val="0"/>
          <w:numId w:val="18"/>
        </w:numPr>
        <w:rPr>
          <w:rFonts w:ascii="Calibri" w:eastAsia="Calibri" w:hAnsi="Calibri" w:cs="Calibri"/>
        </w:rPr>
      </w:pPr>
      <w:r w:rsidRPr="003D2D84">
        <w:rPr>
          <w:rFonts w:ascii="Calibri" w:eastAsia="Calibri" w:hAnsi="Calibri" w:cs="Calibri"/>
        </w:rPr>
        <w:lastRenderedPageBreak/>
        <w:t xml:space="preserve">Using the experience of LTVs to undertake more bespoke development work with leadership teams around values and behaviours including how to create psychologically safe </w:t>
      </w:r>
      <w:r>
        <w:rPr>
          <w:rFonts w:ascii="Calibri" w:eastAsia="Calibri" w:hAnsi="Calibri" w:cs="Calibri"/>
        </w:rPr>
        <w:t>e</w:t>
      </w:r>
      <w:r w:rsidRPr="003D2D84">
        <w:rPr>
          <w:rFonts w:ascii="Calibri" w:eastAsia="Calibri" w:hAnsi="Calibri" w:cs="Calibri"/>
        </w:rPr>
        <w:t>nvironments.</w:t>
      </w:r>
    </w:p>
    <w:p w14:paraId="26BA2D31" w14:textId="4C03F44D" w:rsidR="003D2D84" w:rsidRPr="003D2D84" w:rsidRDefault="003D2D84" w:rsidP="00DC6B4B">
      <w:pPr>
        <w:pStyle w:val="ListParagraph"/>
        <w:numPr>
          <w:ilvl w:val="0"/>
          <w:numId w:val="18"/>
        </w:numPr>
        <w:rPr>
          <w:rFonts w:ascii="Calibri" w:eastAsia="Calibri" w:hAnsi="Calibri" w:cs="Calibri"/>
        </w:rPr>
      </w:pPr>
      <w:r w:rsidRPr="003D2D84">
        <w:rPr>
          <w:rFonts w:ascii="Calibri" w:eastAsia="Calibri" w:hAnsi="Calibri" w:cs="Calibri"/>
        </w:rPr>
        <w:t>Using insights from the LTVs programme about our campus, and experiences</w:t>
      </w:r>
      <w:r>
        <w:rPr>
          <w:rFonts w:ascii="Calibri" w:eastAsia="Calibri" w:hAnsi="Calibri" w:cs="Calibri"/>
        </w:rPr>
        <w:t xml:space="preserve"> </w:t>
      </w:r>
      <w:r w:rsidRPr="003D2D84">
        <w:rPr>
          <w:rFonts w:ascii="Calibri" w:eastAsia="Calibri" w:hAnsi="Calibri" w:cs="Calibri"/>
        </w:rPr>
        <w:t>of inclusion and belonging to shape recommendations for our Campus of the Future project.</w:t>
      </w:r>
    </w:p>
    <w:p w14:paraId="4F6486E5" w14:textId="7E54BC99" w:rsidR="003D2D84" w:rsidRPr="003D2D84" w:rsidRDefault="003D2D84" w:rsidP="00DC6B4B">
      <w:pPr>
        <w:pStyle w:val="ListParagraph"/>
        <w:numPr>
          <w:ilvl w:val="0"/>
          <w:numId w:val="18"/>
        </w:numPr>
        <w:rPr>
          <w:rFonts w:ascii="Calibri" w:eastAsia="Calibri" w:hAnsi="Calibri" w:cs="Calibri"/>
        </w:rPr>
      </w:pPr>
      <w:r w:rsidRPr="003D2D84">
        <w:rPr>
          <w:rFonts w:ascii="Calibri" w:eastAsia="Calibri" w:hAnsi="Calibri" w:cs="Calibri"/>
        </w:rPr>
        <w:t>Piloting values and behaviour-based assessment activities as part of the recruitment process in a range of senior appointments.</w:t>
      </w:r>
    </w:p>
    <w:p w14:paraId="64C1EB22" w14:textId="27C0E440" w:rsidR="006C3C37" w:rsidRDefault="003D2D84" w:rsidP="00DC6B4B">
      <w:pPr>
        <w:pStyle w:val="ListParagraph"/>
        <w:numPr>
          <w:ilvl w:val="0"/>
          <w:numId w:val="18"/>
        </w:numPr>
        <w:rPr>
          <w:rFonts w:eastAsiaTheme="minorEastAsia"/>
        </w:rPr>
      </w:pPr>
      <w:r w:rsidRPr="003D2D84">
        <w:rPr>
          <w:rFonts w:ascii="Calibri" w:eastAsia="Calibri" w:hAnsi="Calibri" w:cs="Calibri"/>
        </w:rPr>
        <w:t>Carrying out organisational wide surveys on research culture and blended working and a focused survey on EDI and Culture in the Faculty of Medical Sciences.</w:t>
      </w:r>
      <w:r w:rsidR="006C3C37">
        <w:t xml:space="preserve">  </w:t>
      </w:r>
    </w:p>
    <w:p w14:paraId="04C7257C" w14:textId="56CC2AEE" w:rsidR="1BB8CDAD" w:rsidRPr="0095264E" w:rsidRDefault="1BB8CDAD" w:rsidP="0EE17C8D">
      <w:pPr>
        <w:rPr>
          <w:b/>
          <w:bCs/>
          <w:lang w:val="en-US"/>
        </w:rPr>
      </w:pPr>
      <w:r w:rsidRPr="0095264E">
        <w:rPr>
          <w:b/>
          <w:bCs/>
          <w:lang w:val="en-US"/>
        </w:rPr>
        <w:t>Priorities 202</w:t>
      </w:r>
      <w:r w:rsidR="003D2D84" w:rsidRPr="0095264E">
        <w:rPr>
          <w:b/>
          <w:bCs/>
          <w:lang w:val="en-US"/>
        </w:rPr>
        <w:t>2</w:t>
      </w:r>
      <w:r w:rsidRPr="0095264E">
        <w:rPr>
          <w:b/>
          <w:bCs/>
          <w:lang w:val="en-US"/>
        </w:rPr>
        <w:t>/2</w:t>
      </w:r>
      <w:r w:rsidR="003D2D84" w:rsidRPr="0095264E">
        <w:rPr>
          <w:b/>
          <w:bCs/>
          <w:lang w:val="en-US"/>
        </w:rPr>
        <w:t>3</w:t>
      </w:r>
      <w:r w:rsidRPr="0095264E">
        <w:rPr>
          <w:b/>
          <w:bCs/>
          <w:lang w:val="en-US"/>
        </w:rPr>
        <w:t>:</w:t>
      </w:r>
    </w:p>
    <w:p w14:paraId="799377C1" w14:textId="3C9024BB" w:rsidR="003D2D84" w:rsidRPr="003D2D84" w:rsidRDefault="003D2D84" w:rsidP="00DC6B4B">
      <w:pPr>
        <w:pStyle w:val="ListParagraph"/>
        <w:numPr>
          <w:ilvl w:val="0"/>
          <w:numId w:val="19"/>
        </w:numPr>
        <w:rPr>
          <w:rFonts w:ascii="Calibri" w:eastAsia="Calibri" w:hAnsi="Calibri" w:cs="Calibri"/>
        </w:rPr>
      </w:pPr>
      <w:r w:rsidRPr="003D2D84">
        <w:rPr>
          <w:rFonts w:ascii="Calibri" w:eastAsia="Calibri" w:hAnsi="Calibri" w:cs="Calibri"/>
        </w:rPr>
        <w:t>Implementing our new approach to Performance Development Reviews (PDRs) called Conversations and Priorities.</w:t>
      </w:r>
    </w:p>
    <w:p w14:paraId="2C4BD8C2" w14:textId="4526319E" w:rsidR="17448071" w:rsidRDefault="003D2D84" w:rsidP="00DC6B4B">
      <w:pPr>
        <w:pStyle w:val="ListParagraph"/>
        <w:numPr>
          <w:ilvl w:val="0"/>
          <w:numId w:val="19"/>
        </w:numPr>
        <w:rPr>
          <w:rFonts w:eastAsiaTheme="minorEastAsia"/>
        </w:rPr>
      </w:pPr>
      <w:r w:rsidRPr="003D2D84">
        <w:rPr>
          <w:rFonts w:ascii="Calibri" w:eastAsia="Calibri" w:hAnsi="Calibri" w:cs="Calibri"/>
        </w:rPr>
        <w:t>Launching the Skills Academy programme.</w:t>
      </w:r>
    </w:p>
    <w:p w14:paraId="2AB8B671" w14:textId="2C9EA2CA" w:rsidR="5A8033AB" w:rsidRDefault="75B5C0FC" w:rsidP="0EFFAC96">
      <w:pPr>
        <w:pStyle w:val="Heading3"/>
        <w:rPr>
          <w:rFonts w:ascii="Calibri Light" w:eastAsia="Yu Gothic Light" w:hAnsi="Calibri Light" w:cs="Times New Roman"/>
          <w:b/>
          <w:bCs/>
          <w:color w:val="1F3763"/>
        </w:rPr>
      </w:pPr>
      <w:bookmarkStart w:id="33" w:name="_Toc86832889"/>
      <w:bookmarkStart w:id="34" w:name="_Toc87435057"/>
      <w:bookmarkStart w:id="35" w:name="_Toc87856798"/>
      <w:bookmarkStart w:id="36" w:name="_Toc94185407"/>
      <w:r w:rsidRPr="0EE17C8D">
        <w:rPr>
          <w:b/>
          <w:bCs/>
        </w:rPr>
        <w:t xml:space="preserve">EDI </w:t>
      </w:r>
      <w:r w:rsidR="01DAEA36" w:rsidRPr="0EE17C8D">
        <w:rPr>
          <w:b/>
          <w:bCs/>
        </w:rPr>
        <w:t>t</w:t>
      </w:r>
      <w:r w:rsidR="5A8033AB" w:rsidRPr="0EE17C8D">
        <w:rPr>
          <w:b/>
          <w:bCs/>
        </w:rPr>
        <w:t>raining</w:t>
      </w:r>
      <w:bookmarkEnd w:id="33"/>
      <w:bookmarkEnd w:id="34"/>
      <w:bookmarkEnd w:id="35"/>
      <w:bookmarkEnd w:id="36"/>
    </w:p>
    <w:p w14:paraId="1440AE54" w14:textId="2E123DF7" w:rsidR="00B52D6B" w:rsidRDefault="00B52D6B" w:rsidP="00B52D6B">
      <w:r>
        <w:t>Continuing to build an understanding and competence amongst our colleagues is fundamental to building an inclusive culture that values and respects all in our community.</w:t>
      </w:r>
    </w:p>
    <w:p w14:paraId="343A48AA" w14:textId="0CDFE767" w:rsidR="5A8033AB" w:rsidRPr="0094499B" w:rsidRDefault="00B52D6B" w:rsidP="00B52D6B">
      <w:r>
        <w:t xml:space="preserve">This year has seen the design and delivery of three key training programmes, Be an Active Bystander, White Privilege and Anti-racism and Allyship to many different colleagues across the University. We delivered our Inclusive Futures leadership programme for minoritised ethnic colleagues to improve progression into senior positions, which received the CIPD </w:t>
      </w:r>
      <w:proofErr w:type="gramStart"/>
      <w:r>
        <w:t>North East</w:t>
      </w:r>
      <w:proofErr w:type="gramEnd"/>
      <w:r>
        <w:t xml:space="preserve"> Award for excellence in Inclusivity and Diversity 2022 and has been shortlisted for a Times Higher Education Award for Outstanding Contribution to EDI. We have also developed inclusive language and cultural competency training, and work is underway to improve the Inclusive Leadership programme for colleagues from minoritised ethnic backgrounds and this will be developed further in 2022-23.</w:t>
      </w:r>
      <w:r w:rsidR="008976BD" w:rsidRPr="0094499B">
        <w:rPr>
          <w:lang w:val="en-US"/>
        </w:rPr>
        <w:t xml:space="preserve"> </w:t>
      </w:r>
    </w:p>
    <w:p w14:paraId="6B094362" w14:textId="4BC07064" w:rsidR="3B5BE78B" w:rsidRPr="0095264E" w:rsidRDefault="3B5BE78B" w:rsidP="0EE17C8D">
      <w:pPr>
        <w:rPr>
          <w:b/>
          <w:bCs/>
          <w:lang w:val="en-US"/>
        </w:rPr>
      </w:pPr>
      <w:r w:rsidRPr="0095264E">
        <w:rPr>
          <w:b/>
          <w:bCs/>
          <w:lang w:val="en-US"/>
        </w:rPr>
        <w:t>Priorities 202</w:t>
      </w:r>
      <w:r w:rsidR="00B52D6B" w:rsidRPr="0095264E">
        <w:rPr>
          <w:b/>
          <w:bCs/>
          <w:lang w:val="en-US"/>
        </w:rPr>
        <w:t>2</w:t>
      </w:r>
      <w:r w:rsidRPr="0095264E">
        <w:rPr>
          <w:b/>
          <w:bCs/>
          <w:lang w:val="en-US"/>
        </w:rPr>
        <w:t>/2</w:t>
      </w:r>
      <w:r w:rsidR="00B52D6B" w:rsidRPr="0095264E">
        <w:rPr>
          <w:b/>
          <w:bCs/>
          <w:lang w:val="en-US"/>
        </w:rPr>
        <w:t>3</w:t>
      </w:r>
      <w:r w:rsidRPr="0095264E">
        <w:rPr>
          <w:b/>
          <w:bCs/>
          <w:lang w:val="en-US"/>
        </w:rPr>
        <w:t>:</w:t>
      </w:r>
    </w:p>
    <w:p w14:paraId="1F321D28" w14:textId="6FD18F7E" w:rsidR="00B52D6B" w:rsidRPr="00B52D6B" w:rsidRDefault="00B52D6B" w:rsidP="00DC6B4B">
      <w:pPr>
        <w:pStyle w:val="Heading3"/>
        <w:numPr>
          <w:ilvl w:val="0"/>
          <w:numId w:val="20"/>
        </w:numPr>
        <w:tabs>
          <w:tab w:val="left" w:pos="720"/>
        </w:tabs>
        <w:rPr>
          <w:rFonts w:asciiTheme="minorHAnsi" w:eastAsiaTheme="minorHAnsi" w:hAnsiTheme="minorHAnsi" w:cstheme="minorBidi"/>
          <w:color w:val="auto"/>
          <w:sz w:val="22"/>
          <w:szCs w:val="22"/>
        </w:rPr>
      </w:pPr>
      <w:bookmarkStart w:id="37" w:name="_Toc86832890"/>
      <w:bookmarkStart w:id="38" w:name="_Toc87435058"/>
      <w:bookmarkStart w:id="39" w:name="_Toc87856799"/>
      <w:bookmarkStart w:id="40" w:name="_Toc94185408"/>
      <w:r w:rsidRPr="00B52D6B">
        <w:rPr>
          <w:rFonts w:asciiTheme="minorHAnsi" w:eastAsiaTheme="minorHAnsi" w:hAnsiTheme="minorHAnsi" w:cstheme="minorBidi"/>
          <w:color w:val="auto"/>
          <w:sz w:val="22"/>
          <w:szCs w:val="22"/>
        </w:rPr>
        <w:t>Developing and delivering new training programmes about Bullying, Harassment and Victimisation, Cultural Sensitivity, Inclusive Language and Hate Crimes.</w:t>
      </w:r>
    </w:p>
    <w:p w14:paraId="609542DF" w14:textId="63C23292" w:rsidR="00B52D6B" w:rsidRPr="00B52D6B" w:rsidRDefault="00B52D6B" w:rsidP="00DC6B4B">
      <w:pPr>
        <w:pStyle w:val="Heading3"/>
        <w:numPr>
          <w:ilvl w:val="0"/>
          <w:numId w:val="20"/>
        </w:numPr>
        <w:tabs>
          <w:tab w:val="left" w:pos="720"/>
        </w:tabs>
        <w:rPr>
          <w:rFonts w:asciiTheme="minorHAnsi" w:eastAsiaTheme="minorHAnsi" w:hAnsiTheme="minorHAnsi" w:cstheme="minorBidi"/>
          <w:color w:val="auto"/>
          <w:sz w:val="22"/>
          <w:szCs w:val="22"/>
        </w:rPr>
      </w:pPr>
      <w:r w:rsidRPr="00B52D6B">
        <w:rPr>
          <w:rFonts w:asciiTheme="minorHAnsi" w:eastAsiaTheme="minorHAnsi" w:hAnsiTheme="minorHAnsi" w:cstheme="minorBidi"/>
          <w:color w:val="auto"/>
          <w:sz w:val="22"/>
          <w:szCs w:val="22"/>
        </w:rPr>
        <w:t>To design an Inclusive Leadership programme to support the leadership needs and development of colleagues from intersectional backgrounds.</w:t>
      </w:r>
    </w:p>
    <w:p w14:paraId="25A06FD9" w14:textId="77777777" w:rsidR="00B52D6B" w:rsidRDefault="00B52D6B" w:rsidP="00DC6B4B">
      <w:pPr>
        <w:pStyle w:val="Heading3"/>
        <w:numPr>
          <w:ilvl w:val="0"/>
          <w:numId w:val="20"/>
        </w:numPr>
        <w:tabs>
          <w:tab w:val="left" w:pos="720"/>
        </w:tabs>
        <w:rPr>
          <w:rFonts w:asciiTheme="minorHAnsi" w:eastAsiaTheme="minorHAnsi" w:hAnsiTheme="minorHAnsi" w:cstheme="minorBidi"/>
          <w:color w:val="auto"/>
          <w:sz w:val="22"/>
          <w:szCs w:val="22"/>
        </w:rPr>
      </w:pPr>
      <w:r w:rsidRPr="00B52D6B">
        <w:rPr>
          <w:rFonts w:asciiTheme="minorHAnsi" w:eastAsiaTheme="minorHAnsi" w:hAnsiTheme="minorHAnsi" w:cstheme="minorBidi"/>
          <w:color w:val="auto"/>
          <w:sz w:val="22"/>
          <w:szCs w:val="22"/>
        </w:rPr>
        <w:t>Reviewing and developing EDI Essentials Training along with a review of existing EDI training modules.</w:t>
      </w:r>
    </w:p>
    <w:p w14:paraId="03DC0C88" w14:textId="77777777" w:rsidR="00B52D6B" w:rsidRDefault="00B52D6B" w:rsidP="00B6497A"/>
    <w:p w14:paraId="145CEDCD" w14:textId="16EFAD67" w:rsidR="3D000AA0" w:rsidRDefault="3D000AA0" w:rsidP="00B52D6B">
      <w:pPr>
        <w:pStyle w:val="Heading3"/>
        <w:tabs>
          <w:tab w:val="left" w:pos="720"/>
        </w:tabs>
        <w:rPr>
          <w:rFonts w:ascii="Calibri Light" w:eastAsia="Yu Gothic Light" w:hAnsi="Calibri Light" w:cs="Times New Roman"/>
          <w:b/>
          <w:bCs/>
          <w:color w:val="1F3763"/>
        </w:rPr>
      </w:pPr>
      <w:r w:rsidRPr="0EE17C8D">
        <w:rPr>
          <w:b/>
          <w:bCs/>
        </w:rPr>
        <w:t xml:space="preserve">Research </w:t>
      </w:r>
      <w:r w:rsidR="114E1FE0" w:rsidRPr="0EE17C8D">
        <w:rPr>
          <w:b/>
          <w:bCs/>
        </w:rPr>
        <w:t>c</w:t>
      </w:r>
      <w:r w:rsidRPr="0EE17C8D">
        <w:rPr>
          <w:b/>
          <w:bCs/>
        </w:rPr>
        <w:t>ulture</w:t>
      </w:r>
      <w:r w:rsidR="187823DF" w:rsidRPr="0EE17C8D">
        <w:rPr>
          <w:b/>
          <w:bCs/>
        </w:rPr>
        <w:t xml:space="preserve"> work</w:t>
      </w:r>
      <w:bookmarkEnd w:id="37"/>
      <w:bookmarkEnd w:id="38"/>
      <w:bookmarkEnd w:id="39"/>
      <w:bookmarkEnd w:id="40"/>
    </w:p>
    <w:p w14:paraId="5F281CFE" w14:textId="1E2D3870" w:rsidR="271FA26F" w:rsidRDefault="00B52D6B" w:rsidP="00F22931">
      <w:pPr>
        <w:tabs>
          <w:tab w:val="left" w:pos="720"/>
        </w:tabs>
        <w:rPr>
          <w:rFonts w:ascii="Calibri" w:eastAsia="Calibri" w:hAnsi="Calibri" w:cs="Calibri"/>
        </w:rPr>
      </w:pPr>
      <w:r w:rsidRPr="00B52D6B">
        <w:t>A considerable amount of activity has happened this year towards improving Research Culture. Specifically, an extensive consultation phase has been undertaken across the research community. Feedback gathered from colleagues and students has led to the following developments and activities:</w:t>
      </w:r>
      <w:r w:rsidR="271FA26F" w:rsidRPr="00F22931">
        <w:rPr>
          <w:rFonts w:ascii="Calibri" w:eastAsia="Calibri" w:hAnsi="Calibri" w:cs="Calibri"/>
        </w:rPr>
        <w:t xml:space="preserve"> </w:t>
      </w:r>
    </w:p>
    <w:p w14:paraId="69B32B36" w14:textId="57E6E953" w:rsidR="00B52D6B" w:rsidRDefault="00B52D6B" w:rsidP="00DC6B4B">
      <w:pPr>
        <w:pStyle w:val="ListParagraph"/>
        <w:numPr>
          <w:ilvl w:val="0"/>
          <w:numId w:val="21"/>
        </w:numPr>
        <w:tabs>
          <w:tab w:val="left" w:pos="720"/>
        </w:tabs>
      </w:pPr>
      <w:r>
        <w:t>Recognising key attributes that define a ‘positive Research Culture’ (Collaboration and collegiality, Freedom to Grow and Explore, Fairness and Inclusion, Openness and Integrity</w:t>
      </w:r>
      <w:r w:rsidR="005320DD">
        <w:t>.</w:t>
      </w:r>
      <w:r>
        <w:t>)</w:t>
      </w:r>
    </w:p>
    <w:p w14:paraId="198DA9EF" w14:textId="7A585E5F" w:rsidR="00B52D6B" w:rsidRDefault="00B52D6B" w:rsidP="00DC6B4B">
      <w:pPr>
        <w:pStyle w:val="ListParagraph"/>
        <w:numPr>
          <w:ilvl w:val="0"/>
          <w:numId w:val="21"/>
        </w:numPr>
        <w:tabs>
          <w:tab w:val="left" w:pos="720"/>
        </w:tabs>
      </w:pPr>
      <w:r>
        <w:t>Identifying a wide range of issues and challenges that need to be addressed to achieve the attributes and improve our Research culture.</w:t>
      </w:r>
    </w:p>
    <w:p w14:paraId="6ABCFE34" w14:textId="6CB4641F" w:rsidR="00B52D6B" w:rsidRDefault="00B52D6B" w:rsidP="00DC6B4B">
      <w:pPr>
        <w:pStyle w:val="ListParagraph"/>
        <w:numPr>
          <w:ilvl w:val="0"/>
          <w:numId w:val="21"/>
        </w:numPr>
        <w:tabs>
          <w:tab w:val="left" w:pos="720"/>
        </w:tabs>
      </w:pPr>
      <w:r>
        <w:t xml:space="preserve">A Research Culture Survey, to determine how colleagues and students relate to areas within the attributes. A report on our findings was released in October 2022 and the feedback </w:t>
      </w:r>
      <w:r>
        <w:lastRenderedPageBreak/>
        <w:t>informed our future actions. The survey captured EDI data and results relating to protected characteristics will be included.</w:t>
      </w:r>
    </w:p>
    <w:p w14:paraId="6F70FC8F" w14:textId="32C9B890" w:rsidR="00B52D6B" w:rsidRDefault="00B52D6B" w:rsidP="00DC6B4B">
      <w:pPr>
        <w:pStyle w:val="ListParagraph"/>
        <w:numPr>
          <w:ilvl w:val="0"/>
          <w:numId w:val="21"/>
        </w:numPr>
        <w:tabs>
          <w:tab w:val="left" w:pos="720"/>
        </w:tabs>
      </w:pPr>
      <w:r>
        <w:t>A Research Culture Action Plan has been created and sets out activities to be implemented across the University.</w:t>
      </w:r>
    </w:p>
    <w:p w14:paraId="47DAF608" w14:textId="24FA5C2F" w:rsidR="00B52D6B" w:rsidRPr="00F22931" w:rsidRDefault="00B52D6B" w:rsidP="00DC6B4B">
      <w:pPr>
        <w:pStyle w:val="ListParagraph"/>
        <w:numPr>
          <w:ilvl w:val="0"/>
          <w:numId w:val="21"/>
        </w:numPr>
        <w:tabs>
          <w:tab w:val="left" w:pos="720"/>
        </w:tabs>
      </w:pPr>
      <w:r>
        <w:t>Work with external consultancy group, Positive About Inclusion (PAI), to gather information about inappropriate behaviours in our research community and input on how we address them.</w:t>
      </w:r>
    </w:p>
    <w:p w14:paraId="0EC180A9" w14:textId="25A34146" w:rsidR="7F288A62" w:rsidRPr="0095264E" w:rsidRDefault="7F288A62" w:rsidP="0EE17C8D">
      <w:pPr>
        <w:tabs>
          <w:tab w:val="left" w:pos="720"/>
        </w:tabs>
        <w:jc w:val="both"/>
        <w:rPr>
          <w:rFonts w:ascii="Calibri" w:eastAsia="Calibri" w:hAnsi="Calibri" w:cs="Calibri"/>
          <w:b/>
          <w:bCs/>
        </w:rPr>
      </w:pPr>
      <w:r w:rsidRPr="0095264E">
        <w:rPr>
          <w:rFonts w:ascii="Calibri" w:eastAsia="Calibri" w:hAnsi="Calibri" w:cs="Calibri"/>
          <w:b/>
          <w:bCs/>
        </w:rPr>
        <w:t>Priorities 202</w:t>
      </w:r>
      <w:r w:rsidR="00B52D6B" w:rsidRPr="0095264E">
        <w:rPr>
          <w:rFonts w:ascii="Calibri" w:eastAsia="Calibri" w:hAnsi="Calibri" w:cs="Calibri"/>
          <w:b/>
          <w:bCs/>
        </w:rPr>
        <w:t>2</w:t>
      </w:r>
      <w:r w:rsidRPr="0095264E">
        <w:rPr>
          <w:rFonts w:ascii="Calibri" w:eastAsia="Calibri" w:hAnsi="Calibri" w:cs="Calibri"/>
          <w:b/>
          <w:bCs/>
        </w:rPr>
        <w:t>/2</w:t>
      </w:r>
      <w:r w:rsidR="00B52D6B" w:rsidRPr="0095264E">
        <w:rPr>
          <w:rFonts w:ascii="Calibri" w:eastAsia="Calibri" w:hAnsi="Calibri" w:cs="Calibri"/>
          <w:b/>
          <w:bCs/>
        </w:rPr>
        <w:t>3</w:t>
      </w:r>
      <w:r w:rsidRPr="0095264E">
        <w:rPr>
          <w:rFonts w:ascii="Calibri" w:eastAsia="Calibri" w:hAnsi="Calibri" w:cs="Calibri"/>
          <w:b/>
          <w:bCs/>
        </w:rPr>
        <w:t>:</w:t>
      </w:r>
    </w:p>
    <w:p w14:paraId="53DA9689" w14:textId="1AF5ADE4" w:rsidR="00777957" w:rsidRPr="00777957" w:rsidRDefault="00777957" w:rsidP="00DC6B4B">
      <w:pPr>
        <w:pStyle w:val="ListParagraph"/>
        <w:numPr>
          <w:ilvl w:val="0"/>
          <w:numId w:val="22"/>
        </w:numPr>
        <w:rPr>
          <w:rFonts w:ascii="Calibri" w:eastAsia="Calibri" w:hAnsi="Calibri" w:cs="Calibri"/>
        </w:rPr>
      </w:pPr>
      <w:r w:rsidRPr="00777957">
        <w:rPr>
          <w:rFonts w:ascii="Calibri" w:eastAsia="Calibri" w:hAnsi="Calibri" w:cs="Calibri"/>
        </w:rPr>
        <w:t>Commencing work on ‘priority actions’ from the Research Culture Action Plan, 1. Releasing quality time for creativity, and 2. Building safe and inclusive research environments.</w:t>
      </w:r>
    </w:p>
    <w:p w14:paraId="03CDEB60" w14:textId="3E7DA121" w:rsidR="00777957" w:rsidRPr="00777957" w:rsidRDefault="00777957" w:rsidP="00DC6B4B">
      <w:pPr>
        <w:pStyle w:val="ListParagraph"/>
        <w:numPr>
          <w:ilvl w:val="0"/>
          <w:numId w:val="22"/>
        </w:numPr>
        <w:rPr>
          <w:rFonts w:ascii="Calibri" w:eastAsia="Calibri" w:hAnsi="Calibri" w:cs="Calibri"/>
        </w:rPr>
      </w:pPr>
      <w:r w:rsidRPr="00777957">
        <w:rPr>
          <w:rFonts w:ascii="Calibri" w:eastAsia="Calibri" w:hAnsi="Calibri" w:cs="Calibri"/>
        </w:rPr>
        <w:t>Using feedback from the Research Culture Survey Report to guide further actions for improvements, including on EDI data and results relating to protected characteristics.</w:t>
      </w:r>
    </w:p>
    <w:p w14:paraId="0DCB810B" w14:textId="21AA2322" w:rsidR="00777957" w:rsidRPr="00777957" w:rsidRDefault="00777957" w:rsidP="00DC6B4B">
      <w:pPr>
        <w:pStyle w:val="ListParagraph"/>
        <w:numPr>
          <w:ilvl w:val="0"/>
          <w:numId w:val="22"/>
        </w:numPr>
        <w:rPr>
          <w:rFonts w:ascii="Calibri" w:eastAsia="Calibri" w:hAnsi="Calibri" w:cs="Calibri"/>
        </w:rPr>
      </w:pPr>
      <w:r w:rsidRPr="00777957">
        <w:rPr>
          <w:rFonts w:ascii="Calibri" w:eastAsia="Calibri" w:hAnsi="Calibri" w:cs="Calibri"/>
        </w:rPr>
        <w:t>Developing actions to address the findings and recommendations from the PAI report.</w:t>
      </w:r>
    </w:p>
    <w:p w14:paraId="4D5A70CF" w14:textId="0E4CCCA4" w:rsidR="00777957" w:rsidRPr="00B6497A" w:rsidRDefault="00777957" w:rsidP="00DC6B4B">
      <w:pPr>
        <w:pStyle w:val="ListParagraph"/>
        <w:numPr>
          <w:ilvl w:val="0"/>
          <w:numId w:val="22"/>
        </w:numPr>
        <w:rPr>
          <w:rFonts w:ascii="Calibri" w:eastAsia="Calibri" w:hAnsi="Calibri" w:cs="Calibri"/>
          <w:b/>
          <w:bCs/>
        </w:rPr>
      </w:pPr>
      <w:r w:rsidRPr="00777957">
        <w:rPr>
          <w:rFonts w:ascii="Calibri" w:eastAsia="Calibri" w:hAnsi="Calibri" w:cs="Calibri"/>
        </w:rPr>
        <w:t>The creation of a research-led online ‘EDI Toolkit’ to support research leaders to manage and support diverse teams.</w:t>
      </w:r>
    </w:p>
    <w:p w14:paraId="335378A2" w14:textId="77777777" w:rsidR="00B6497A" w:rsidRPr="00B6497A" w:rsidRDefault="00B6497A" w:rsidP="00B6497A">
      <w:pPr>
        <w:rPr>
          <w:rFonts w:ascii="Calibri" w:eastAsia="Calibri" w:hAnsi="Calibri" w:cs="Calibri"/>
          <w:b/>
          <w:bCs/>
        </w:rPr>
      </w:pPr>
    </w:p>
    <w:p w14:paraId="183504AF" w14:textId="2D72E69D" w:rsidR="00121FCD" w:rsidRPr="007271D8" w:rsidRDefault="00121FCD" w:rsidP="00DC6B4B">
      <w:pPr>
        <w:pStyle w:val="Heading2"/>
        <w:numPr>
          <w:ilvl w:val="0"/>
          <w:numId w:val="2"/>
        </w:numPr>
        <w:rPr>
          <w:b/>
          <w:bCs/>
        </w:rPr>
      </w:pPr>
      <w:bookmarkStart w:id="41" w:name="_Toc86832891"/>
      <w:bookmarkStart w:id="42" w:name="_Toc94185409"/>
      <w:r w:rsidRPr="53766C39">
        <w:rPr>
          <w:b/>
          <w:bCs/>
        </w:rPr>
        <w:t xml:space="preserve">Increase representation of underrepresented protected characteristic groups among </w:t>
      </w:r>
      <w:r w:rsidR="00AE6FA7">
        <w:rPr>
          <w:b/>
          <w:bCs/>
        </w:rPr>
        <w:t>p</w:t>
      </w:r>
      <w:r w:rsidRPr="53766C39">
        <w:rPr>
          <w:b/>
          <w:bCs/>
        </w:rPr>
        <w:t xml:space="preserve">rofessional </w:t>
      </w:r>
      <w:r w:rsidR="00AE6FA7">
        <w:rPr>
          <w:b/>
          <w:bCs/>
        </w:rPr>
        <w:t>s</w:t>
      </w:r>
      <w:r w:rsidRPr="53766C39">
        <w:rPr>
          <w:b/>
          <w:bCs/>
        </w:rPr>
        <w:t xml:space="preserve">ervices and </w:t>
      </w:r>
      <w:r w:rsidR="00AE6FA7">
        <w:rPr>
          <w:b/>
          <w:bCs/>
        </w:rPr>
        <w:t>a</w:t>
      </w:r>
      <w:r w:rsidRPr="53766C39">
        <w:rPr>
          <w:b/>
          <w:bCs/>
        </w:rPr>
        <w:t>cademic colleagues</w:t>
      </w:r>
      <w:bookmarkEnd w:id="41"/>
      <w:bookmarkEnd w:id="42"/>
    </w:p>
    <w:p w14:paraId="490EF8A9" w14:textId="2790CEFA" w:rsidR="53766C39" w:rsidRPr="00B6497A" w:rsidRDefault="53766C39" w:rsidP="53766C39"/>
    <w:p w14:paraId="53A727EC" w14:textId="0CD7963F" w:rsidR="461B21D7" w:rsidRDefault="461B21D7" w:rsidP="53766C39">
      <w:pPr>
        <w:pStyle w:val="Heading3"/>
        <w:rPr>
          <w:rFonts w:ascii="Calibri Light" w:hAnsi="Calibri Light"/>
          <w:b/>
          <w:bCs/>
          <w:color w:val="1F3763"/>
        </w:rPr>
      </w:pPr>
      <w:bookmarkStart w:id="43" w:name="_Toc86832892"/>
      <w:bookmarkStart w:id="44" w:name="_Toc87435060"/>
      <w:bookmarkStart w:id="45" w:name="_Toc87856801"/>
      <w:bookmarkStart w:id="46" w:name="_Toc94185410"/>
      <w:r w:rsidRPr="53766C39">
        <w:rPr>
          <w:b/>
          <w:bCs/>
        </w:rPr>
        <w:t>Background to this objective</w:t>
      </w:r>
      <w:bookmarkEnd w:id="43"/>
      <w:bookmarkEnd w:id="44"/>
      <w:bookmarkEnd w:id="45"/>
      <w:bookmarkEnd w:id="46"/>
    </w:p>
    <w:p w14:paraId="33B8319A" w14:textId="35DE268F" w:rsidR="006E1A00" w:rsidRPr="00121FCD" w:rsidRDefault="00500F11" w:rsidP="00500F11">
      <w:r>
        <w:t>For this PSED equality objective, we focus on the representation of protected characteristic groups among our PS and academic colleagues overall, and in specific areas or occupations. Representation at senior grades/levels is addressed through the subsequent objective.</w:t>
      </w:r>
      <w:r w:rsidR="1FF894A3">
        <w:t xml:space="preserve"> </w:t>
      </w:r>
    </w:p>
    <w:p w14:paraId="4A059DA3" w14:textId="6086B886" w:rsidR="007271D8" w:rsidRPr="007271D8" w:rsidRDefault="007271D8" w:rsidP="53766C39">
      <w:pPr>
        <w:pStyle w:val="Heading3"/>
        <w:rPr>
          <w:rFonts w:ascii="Calibri Light" w:hAnsi="Calibri Light"/>
          <w:b/>
          <w:bCs/>
          <w:i/>
          <w:iCs/>
          <w:color w:val="1F3763"/>
        </w:rPr>
      </w:pPr>
      <w:bookmarkStart w:id="47" w:name="_Toc86832893"/>
      <w:bookmarkStart w:id="48" w:name="_Toc87435061"/>
      <w:bookmarkStart w:id="49" w:name="_Toc87856802"/>
      <w:bookmarkStart w:id="50" w:name="_Toc94185411"/>
      <w:r w:rsidRPr="3C4DAE66">
        <w:rPr>
          <w:b/>
          <w:bCs/>
        </w:rPr>
        <w:t>Highlights from our activity</w:t>
      </w:r>
      <w:r w:rsidR="305BB329" w:rsidRPr="3C4DAE66">
        <w:rPr>
          <w:b/>
          <w:bCs/>
        </w:rPr>
        <w:t xml:space="preserve"> 202</w:t>
      </w:r>
      <w:r w:rsidR="00500F11">
        <w:rPr>
          <w:b/>
          <w:bCs/>
        </w:rPr>
        <w:t>1</w:t>
      </w:r>
      <w:r w:rsidR="305BB329" w:rsidRPr="3C4DAE66">
        <w:rPr>
          <w:b/>
          <w:bCs/>
        </w:rPr>
        <w:t>-2</w:t>
      </w:r>
      <w:r w:rsidR="00500F11">
        <w:rPr>
          <w:b/>
          <w:bCs/>
        </w:rPr>
        <w:t>2</w:t>
      </w:r>
      <w:r w:rsidRPr="3C4DAE66">
        <w:rPr>
          <w:b/>
          <w:bCs/>
        </w:rPr>
        <w:t>:</w:t>
      </w:r>
      <w:bookmarkEnd w:id="47"/>
      <w:bookmarkEnd w:id="48"/>
      <w:bookmarkEnd w:id="49"/>
      <w:bookmarkEnd w:id="50"/>
    </w:p>
    <w:p w14:paraId="2DCF4ECB" w14:textId="77777777" w:rsidR="00500F11" w:rsidRPr="00500F11" w:rsidRDefault="00500F11" w:rsidP="00DC6B4B">
      <w:pPr>
        <w:numPr>
          <w:ilvl w:val="0"/>
          <w:numId w:val="23"/>
        </w:numPr>
        <w:contextualSpacing/>
        <w:rPr>
          <w:rFonts w:ascii="Calibri" w:eastAsia="Calibri" w:hAnsi="Calibri" w:cs="Calibri"/>
        </w:rPr>
      </w:pPr>
      <w:bookmarkStart w:id="51" w:name="_Toc86832894"/>
      <w:bookmarkStart w:id="52" w:name="_Toc87435062"/>
      <w:bookmarkStart w:id="53" w:name="_Toc87856803"/>
      <w:bookmarkStart w:id="54" w:name="_Toc94185412"/>
      <w:r w:rsidRPr="00500F11">
        <w:rPr>
          <w:rFonts w:ascii="Calibri" w:eastAsia="Calibri" w:hAnsi="Calibri" w:cs="Calibri"/>
        </w:rPr>
        <w:t>Becoming Disability Confident Committed. In line with this, we introduced the “Offer an Interview” scheme which is a commitment to offer an interview to all disabled applicants who meet the essential criteria for an advertised job.</w:t>
      </w:r>
    </w:p>
    <w:p w14:paraId="050E8F3A" w14:textId="77777777" w:rsidR="00500F11" w:rsidRPr="00500F11" w:rsidRDefault="00500F11" w:rsidP="00DC6B4B">
      <w:pPr>
        <w:numPr>
          <w:ilvl w:val="0"/>
          <w:numId w:val="23"/>
        </w:numPr>
        <w:contextualSpacing/>
        <w:rPr>
          <w:rFonts w:ascii="Calibri" w:eastAsia="Calibri" w:hAnsi="Calibri" w:cs="Calibri"/>
        </w:rPr>
      </w:pPr>
      <w:r w:rsidRPr="00500F11">
        <w:rPr>
          <w:rFonts w:ascii="Calibri" w:eastAsia="Calibri" w:hAnsi="Calibri" w:cs="Calibri"/>
        </w:rPr>
        <w:t>Delivering recruitment training modules to support hiring managers in ensuring steps are taken at every stage of the recruitment process to be as inclusive as possible.</w:t>
      </w:r>
    </w:p>
    <w:p w14:paraId="1A995081" w14:textId="77777777" w:rsidR="00500F11" w:rsidRPr="00500F11" w:rsidRDefault="00500F11" w:rsidP="00DC6B4B">
      <w:pPr>
        <w:numPr>
          <w:ilvl w:val="0"/>
          <w:numId w:val="23"/>
        </w:numPr>
        <w:contextualSpacing/>
        <w:rPr>
          <w:rFonts w:asciiTheme="minorEastAsia" w:eastAsiaTheme="minorEastAsia" w:hAnsiTheme="minorEastAsia" w:cstheme="minorEastAsia"/>
        </w:rPr>
      </w:pPr>
      <w:r w:rsidRPr="00500F11">
        <w:rPr>
          <w:rFonts w:ascii="Calibri" w:eastAsia="Calibri" w:hAnsi="Calibri" w:cs="Calibri"/>
        </w:rPr>
        <w:t>Participating in a range of local careers fairs and community events that target a diverse range of groups, to actively promote our available vacancies to a wider range of people.</w:t>
      </w:r>
      <w:r w:rsidRPr="00500F11">
        <w:rPr>
          <w:rFonts w:eastAsiaTheme="minorEastAsia"/>
        </w:rPr>
        <w:t xml:space="preserve"> </w:t>
      </w:r>
    </w:p>
    <w:p w14:paraId="06B233B1" w14:textId="77777777" w:rsidR="00500F11" w:rsidRPr="00500F11" w:rsidRDefault="00500F11" w:rsidP="00DC6B4B">
      <w:pPr>
        <w:numPr>
          <w:ilvl w:val="0"/>
          <w:numId w:val="23"/>
        </w:numPr>
        <w:contextualSpacing/>
        <w:rPr>
          <w:rFonts w:eastAsiaTheme="minorEastAsia" w:cstheme="minorHAnsi"/>
        </w:rPr>
      </w:pPr>
      <w:r w:rsidRPr="00500F11">
        <w:rPr>
          <w:rFonts w:eastAsiaTheme="minorEastAsia" w:cstheme="minorHAnsi"/>
        </w:rPr>
        <w:t>Diversifying our recruitment advertising platform options with a focus on international reach.</w:t>
      </w:r>
    </w:p>
    <w:p w14:paraId="7D75C412" w14:textId="77777777" w:rsidR="00500F11" w:rsidRPr="00500F11" w:rsidRDefault="00500F11" w:rsidP="00DC6B4B">
      <w:pPr>
        <w:numPr>
          <w:ilvl w:val="0"/>
          <w:numId w:val="23"/>
        </w:numPr>
        <w:contextualSpacing/>
        <w:rPr>
          <w:rFonts w:eastAsiaTheme="minorEastAsia" w:cstheme="minorHAnsi"/>
        </w:rPr>
      </w:pPr>
      <w:r w:rsidRPr="00500F11">
        <w:rPr>
          <w:rFonts w:eastAsiaTheme="minorEastAsia" w:cstheme="minorHAnsi"/>
        </w:rPr>
        <w:t>Working with local charities to support the recruitment of some of our entry-level roles.</w:t>
      </w:r>
    </w:p>
    <w:p w14:paraId="29EFDE47" w14:textId="77777777" w:rsidR="00500F11" w:rsidRPr="00500F11" w:rsidRDefault="00500F11" w:rsidP="00DC6B4B">
      <w:pPr>
        <w:numPr>
          <w:ilvl w:val="0"/>
          <w:numId w:val="23"/>
        </w:numPr>
        <w:contextualSpacing/>
        <w:rPr>
          <w:rFonts w:eastAsiaTheme="minorEastAsia" w:cstheme="minorHAnsi"/>
        </w:rPr>
      </w:pPr>
      <w:r w:rsidRPr="00500F11">
        <w:rPr>
          <w:rFonts w:eastAsiaTheme="minorEastAsia" w:cstheme="minorHAnsi"/>
        </w:rPr>
        <w:t>Beginning to implement a set of recruitment actions as part of our REC submission.</w:t>
      </w:r>
    </w:p>
    <w:p w14:paraId="722F0775" w14:textId="77777777" w:rsidR="00500F11" w:rsidRPr="00500F11" w:rsidRDefault="00500F11" w:rsidP="00DC6B4B">
      <w:pPr>
        <w:numPr>
          <w:ilvl w:val="0"/>
          <w:numId w:val="23"/>
        </w:numPr>
        <w:contextualSpacing/>
        <w:rPr>
          <w:rFonts w:eastAsiaTheme="minorEastAsia" w:cstheme="minorHAnsi"/>
        </w:rPr>
      </w:pPr>
      <w:r w:rsidRPr="00500F11">
        <w:rPr>
          <w:rFonts w:eastAsiaTheme="minorEastAsia" w:cstheme="minorHAnsi"/>
        </w:rPr>
        <w:t>New toolkits and group exercises have been created, focused on our values.</w:t>
      </w:r>
    </w:p>
    <w:p w14:paraId="113E0027" w14:textId="77777777" w:rsidR="00500F11" w:rsidRPr="00500F11" w:rsidRDefault="00500F11" w:rsidP="00DC6B4B">
      <w:pPr>
        <w:numPr>
          <w:ilvl w:val="0"/>
          <w:numId w:val="23"/>
        </w:numPr>
        <w:contextualSpacing/>
        <w:rPr>
          <w:rFonts w:eastAsiaTheme="minorEastAsia" w:cstheme="minorHAnsi"/>
        </w:rPr>
      </w:pPr>
      <w:r w:rsidRPr="00500F11">
        <w:rPr>
          <w:rFonts w:eastAsiaTheme="minorEastAsia" w:cstheme="minorHAnsi"/>
        </w:rPr>
        <w:t>Delivering positive action in recruitment workshops for key stakeholders and building new guidance into recruitment training modules.</w:t>
      </w:r>
    </w:p>
    <w:p w14:paraId="31B8E381" w14:textId="68E1838A" w:rsidR="0B345CFC" w:rsidRDefault="0B345CFC" w:rsidP="53766C39">
      <w:pPr>
        <w:pStyle w:val="Heading3"/>
        <w:rPr>
          <w:rFonts w:ascii="Calibri Light" w:hAnsi="Calibri Light"/>
          <w:b/>
          <w:bCs/>
          <w:i/>
          <w:iCs/>
          <w:color w:val="1F3763"/>
        </w:rPr>
      </w:pPr>
      <w:r w:rsidRPr="3C4DAE66">
        <w:rPr>
          <w:b/>
          <w:bCs/>
        </w:rPr>
        <w:t>Priorities for 202</w:t>
      </w:r>
      <w:r w:rsidR="00500F11">
        <w:rPr>
          <w:b/>
          <w:bCs/>
        </w:rPr>
        <w:t>2</w:t>
      </w:r>
      <w:r w:rsidRPr="3C4DAE66">
        <w:rPr>
          <w:b/>
          <w:bCs/>
        </w:rPr>
        <w:t>-2</w:t>
      </w:r>
      <w:r w:rsidR="00500F11">
        <w:rPr>
          <w:b/>
          <w:bCs/>
        </w:rPr>
        <w:t>3</w:t>
      </w:r>
      <w:r w:rsidRPr="3C4DAE66">
        <w:rPr>
          <w:b/>
          <w:bCs/>
        </w:rPr>
        <w:t>:</w:t>
      </w:r>
      <w:bookmarkEnd w:id="51"/>
      <w:bookmarkEnd w:id="52"/>
      <w:bookmarkEnd w:id="53"/>
      <w:bookmarkEnd w:id="54"/>
    </w:p>
    <w:p w14:paraId="45A36357" w14:textId="7A905094" w:rsidR="00500F11" w:rsidRDefault="00500F11" w:rsidP="00DC6B4B">
      <w:pPr>
        <w:pStyle w:val="ListParagraph"/>
        <w:numPr>
          <w:ilvl w:val="0"/>
          <w:numId w:val="24"/>
        </w:numPr>
      </w:pPr>
      <w:r>
        <w:t>Launching our new Recruitment website, with key consideration made around representation and inclusivity.</w:t>
      </w:r>
    </w:p>
    <w:p w14:paraId="2826D966" w14:textId="263FA242" w:rsidR="00500F11" w:rsidRDefault="00500F11" w:rsidP="00DC6B4B">
      <w:pPr>
        <w:pStyle w:val="ListParagraph"/>
        <w:numPr>
          <w:ilvl w:val="0"/>
          <w:numId w:val="24"/>
        </w:numPr>
      </w:pPr>
      <w:r>
        <w:t>Launching a new external recruitment advertising campaign.</w:t>
      </w:r>
    </w:p>
    <w:p w14:paraId="756EDAE5" w14:textId="2D6CDF64" w:rsidR="00500F11" w:rsidRDefault="00500F11" w:rsidP="00DC6B4B">
      <w:pPr>
        <w:pStyle w:val="ListParagraph"/>
        <w:numPr>
          <w:ilvl w:val="0"/>
          <w:numId w:val="24"/>
        </w:numPr>
      </w:pPr>
      <w:r>
        <w:lastRenderedPageBreak/>
        <w:t>Providing additional financial support towards immigration costs to colleagues joining the University from overseas.</w:t>
      </w:r>
    </w:p>
    <w:p w14:paraId="38D06FEA" w14:textId="00F864F9" w:rsidR="00500F11" w:rsidRDefault="00500F11" w:rsidP="00DC6B4B">
      <w:pPr>
        <w:pStyle w:val="ListParagraph"/>
        <w:numPr>
          <w:ilvl w:val="0"/>
          <w:numId w:val="24"/>
        </w:numPr>
      </w:pPr>
      <w:r>
        <w:t>Further partnership working with charities</w:t>
      </w:r>
    </w:p>
    <w:p w14:paraId="2F622D10" w14:textId="77777777" w:rsidR="00500F11" w:rsidRDefault="00500F11" w:rsidP="00DC6B4B">
      <w:pPr>
        <w:pStyle w:val="ListParagraph"/>
        <w:numPr>
          <w:ilvl w:val="0"/>
          <w:numId w:val="24"/>
        </w:numPr>
      </w:pPr>
      <w:r>
        <w:t>to support widening our reach and attracting a more diverse range of candidates</w:t>
      </w:r>
    </w:p>
    <w:p w14:paraId="77588A24" w14:textId="13513493" w:rsidR="008F4B88" w:rsidRDefault="00500F11" w:rsidP="00DC6B4B">
      <w:pPr>
        <w:pStyle w:val="ListParagraph"/>
        <w:numPr>
          <w:ilvl w:val="0"/>
          <w:numId w:val="24"/>
        </w:numPr>
      </w:pPr>
      <w:r>
        <w:t>To continue the delivery of the broad objectives set out in the REC submission and action plan.</w:t>
      </w:r>
    </w:p>
    <w:p w14:paraId="2D5AAF5D" w14:textId="77777777" w:rsidR="00B6497A" w:rsidRDefault="00B6497A" w:rsidP="00B6497A"/>
    <w:p w14:paraId="6E990323" w14:textId="537759BC" w:rsidR="007271D8" w:rsidRDefault="007271D8" w:rsidP="00DC6B4B">
      <w:pPr>
        <w:pStyle w:val="Heading2"/>
        <w:numPr>
          <w:ilvl w:val="0"/>
          <w:numId w:val="2"/>
        </w:numPr>
        <w:rPr>
          <w:b/>
          <w:bCs/>
        </w:rPr>
      </w:pPr>
      <w:bookmarkStart w:id="55" w:name="_Toc86832895"/>
      <w:bookmarkStart w:id="56" w:name="_Toc94185413"/>
      <w:r w:rsidRPr="3C4DAE66">
        <w:rPr>
          <w:b/>
          <w:bCs/>
        </w:rPr>
        <w:t xml:space="preserve">Improve the progression of </w:t>
      </w:r>
      <w:r w:rsidR="38DC06C0" w:rsidRPr="3C4DAE66">
        <w:rPr>
          <w:b/>
          <w:bCs/>
        </w:rPr>
        <w:t>a</w:t>
      </w:r>
      <w:r w:rsidRPr="3C4DAE66">
        <w:rPr>
          <w:b/>
          <w:bCs/>
        </w:rPr>
        <w:t xml:space="preserve">cademic and </w:t>
      </w:r>
      <w:r w:rsidR="589B6349" w:rsidRPr="3C4DAE66">
        <w:rPr>
          <w:b/>
          <w:bCs/>
        </w:rPr>
        <w:t>p</w:t>
      </w:r>
      <w:r w:rsidRPr="3C4DAE66">
        <w:rPr>
          <w:b/>
          <w:bCs/>
        </w:rPr>
        <w:t xml:space="preserve">rofessional </w:t>
      </w:r>
      <w:r w:rsidR="4FF6EC6E" w:rsidRPr="3C4DAE66">
        <w:rPr>
          <w:b/>
          <w:bCs/>
        </w:rPr>
        <w:t>s</w:t>
      </w:r>
      <w:r w:rsidRPr="3C4DAE66">
        <w:rPr>
          <w:b/>
          <w:bCs/>
        </w:rPr>
        <w:t xml:space="preserve">ervice colleagues from protected characteristic groups into senior positions where </w:t>
      </w:r>
      <w:r w:rsidR="00777957">
        <w:rPr>
          <w:b/>
          <w:bCs/>
        </w:rPr>
        <w:t>u</w:t>
      </w:r>
      <w:r w:rsidRPr="3C4DAE66">
        <w:rPr>
          <w:b/>
          <w:bCs/>
        </w:rPr>
        <w:t>nderrepresentation has been identified</w:t>
      </w:r>
      <w:bookmarkEnd w:id="55"/>
      <w:bookmarkEnd w:id="56"/>
    </w:p>
    <w:p w14:paraId="4D8ECD2F" w14:textId="77777777" w:rsidR="007271D8" w:rsidRPr="00B6497A" w:rsidRDefault="007271D8" w:rsidP="007271D8"/>
    <w:p w14:paraId="66960929" w14:textId="3B08DA6A" w:rsidR="007271D8" w:rsidRDefault="46CD7154" w:rsidP="53766C39">
      <w:pPr>
        <w:pStyle w:val="Heading3"/>
        <w:rPr>
          <w:rFonts w:ascii="Calibri Light" w:hAnsi="Calibri Light"/>
          <w:b/>
          <w:bCs/>
          <w:color w:val="1F3763"/>
        </w:rPr>
      </w:pPr>
      <w:bookmarkStart w:id="57" w:name="_Toc86832896"/>
      <w:bookmarkStart w:id="58" w:name="_Toc87435064"/>
      <w:bookmarkStart w:id="59" w:name="_Toc87856805"/>
      <w:bookmarkStart w:id="60" w:name="_Toc94185414"/>
      <w:r w:rsidRPr="53766C39">
        <w:rPr>
          <w:b/>
          <w:bCs/>
        </w:rPr>
        <w:t>Background to this objective</w:t>
      </w:r>
      <w:bookmarkEnd w:id="57"/>
      <w:bookmarkEnd w:id="58"/>
      <w:bookmarkEnd w:id="59"/>
      <w:bookmarkEnd w:id="60"/>
    </w:p>
    <w:p w14:paraId="6B4F1548" w14:textId="276A6764" w:rsidR="00777957" w:rsidRDefault="00500F11" w:rsidP="00777957">
      <w:pPr>
        <w:pStyle w:val="Heading3"/>
        <w:rPr>
          <w:rFonts w:ascii="Calibri" w:eastAsia="Calibri" w:hAnsi="Calibri" w:cs="Calibri"/>
          <w:color w:val="auto"/>
          <w:sz w:val="22"/>
          <w:szCs w:val="22"/>
        </w:rPr>
      </w:pPr>
      <w:bookmarkStart w:id="61" w:name="_Toc86832897"/>
      <w:bookmarkStart w:id="62" w:name="_Toc87435065"/>
      <w:bookmarkStart w:id="63" w:name="_Toc87856806"/>
      <w:bookmarkStart w:id="64" w:name="_Toc94185415"/>
      <w:r w:rsidRPr="00500F11">
        <w:rPr>
          <w:rFonts w:ascii="Calibri" w:eastAsia="Calibri" w:hAnsi="Calibri" w:cs="Calibri"/>
          <w:color w:val="auto"/>
          <w:sz w:val="22"/>
          <w:szCs w:val="22"/>
        </w:rPr>
        <w:t xml:space="preserve">We strive to be a University within which all colleagues can reach their full potential. As displayed in section 4, our University, like many other organisations, continues to have underrepresentation of female colleagues within the most senior grade of IB, across both academic (34.7%) and PS occupations (53.7%).   </w:t>
      </w:r>
    </w:p>
    <w:p w14:paraId="442C1574" w14:textId="77777777" w:rsidR="00777957" w:rsidRDefault="00777957" w:rsidP="00B6497A"/>
    <w:p w14:paraId="0007A8D6" w14:textId="26F4F31F" w:rsidR="53766C39" w:rsidRDefault="007271D8" w:rsidP="00777957">
      <w:pPr>
        <w:pStyle w:val="Heading3"/>
        <w:rPr>
          <w:rFonts w:ascii="Calibri Light" w:hAnsi="Calibri Light"/>
          <w:b/>
          <w:bCs/>
          <w:i/>
          <w:iCs/>
          <w:color w:val="1F3763"/>
        </w:rPr>
      </w:pPr>
      <w:bookmarkStart w:id="65" w:name="_Hlk132383369"/>
      <w:r w:rsidRPr="5021B1A8">
        <w:rPr>
          <w:b/>
          <w:bCs/>
        </w:rPr>
        <w:t>Highlights from our activity</w:t>
      </w:r>
      <w:r w:rsidR="1657A8AF" w:rsidRPr="5021B1A8">
        <w:rPr>
          <w:b/>
          <w:bCs/>
        </w:rPr>
        <w:t xml:space="preserve"> 202</w:t>
      </w:r>
      <w:r w:rsidR="00777957">
        <w:rPr>
          <w:b/>
          <w:bCs/>
        </w:rPr>
        <w:t>1</w:t>
      </w:r>
      <w:r w:rsidR="1657A8AF" w:rsidRPr="5021B1A8">
        <w:rPr>
          <w:b/>
          <w:bCs/>
        </w:rPr>
        <w:t>-2</w:t>
      </w:r>
      <w:r w:rsidR="00777957">
        <w:rPr>
          <w:b/>
          <w:bCs/>
        </w:rPr>
        <w:t>2</w:t>
      </w:r>
      <w:r w:rsidRPr="5021B1A8">
        <w:rPr>
          <w:b/>
          <w:bCs/>
        </w:rPr>
        <w:t>:</w:t>
      </w:r>
      <w:bookmarkEnd w:id="61"/>
      <w:bookmarkEnd w:id="62"/>
      <w:bookmarkEnd w:id="63"/>
      <w:bookmarkEnd w:id="64"/>
    </w:p>
    <w:p w14:paraId="3BBCA382" w14:textId="09C73C6E" w:rsidR="00500F11" w:rsidRPr="00500F11" w:rsidRDefault="00500F11" w:rsidP="00DC6B4B">
      <w:pPr>
        <w:pStyle w:val="ListParagraph"/>
        <w:numPr>
          <w:ilvl w:val="0"/>
          <w:numId w:val="25"/>
        </w:numPr>
        <w:rPr>
          <w:rFonts w:ascii="Calibri" w:eastAsia="Calibri" w:hAnsi="Calibri" w:cs="Calibri"/>
        </w:rPr>
      </w:pPr>
      <w:r w:rsidRPr="00500F11">
        <w:rPr>
          <w:rFonts w:ascii="Calibri" w:eastAsia="Calibri" w:hAnsi="Calibri" w:cs="Calibri"/>
        </w:rPr>
        <w:t>Reintroducing our recognition schemes (post Covid-19) and continuing to build an open and transparent approach to reward management and embedding equal pay practices into reward processes.</w:t>
      </w:r>
    </w:p>
    <w:p w14:paraId="4B22B4E4" w14:textId="72656874" w:rsidR="00777957" w:rsidRPr="00500F11" w:rsidRDefault="00500F11" w:rsidP="00DC6B4B">
      <w:pPr>
        <w:pStyle w:val="ListParagraph"/>
        <w:numPr>
          <w:ilvl w:val="0"/>
          <w:numId w:val="25"/>
        </w:numPr>
        <w:rPr>
          <w:rFonts w:eastAsiaTheme="minorEastAsia" w:cstheme="minorHAnsi"/>
        </w:rPr>
      </w:pPr>
      <w:r w:rsidRPr="00500F11">
        <w:rPr>
          <w:rFonts w:ascii="Calibri" w:eastAsia="Calibri" w:hAnsi="Calibri" w:cs="Calibri"/>
        </w:rPr>
        <w:t>Completion of leadership</w:t>
      </w:r>
      <w:r>
        <w:rPr>
          <w:rFonts w:ascii="Calibri" w:eastAsia="Calibri" w:hAnsi="Calibri" w:cs="Calibri"/>
        </w:rPr>
        <w:t xml:space="preserve"> </w:t>
      </w:r>
      <w:r w:rsidRPr="00500F11">
        <w:rPr>
          <w:rFonts w:ascii="Calibri" w:eastAsia="Calibri" w:hAnsi="Calibri" w:cs="Calibri"/>
        </w:rPr>
        <w:t>development projects exploring structural inequalities faced by females and neurodiverse colleagues at the University.</w:t>
      </w:r>
    </w:p>
    <w:p w14:paraId="37652F10" w14:textId="3B65FB96" w:rsidR="00500F11" w:rsidRDefault="00500F11" w:rsidP="00DC6B4B">
      <w:pPr>
        <w:pStyle w:val="ListParagraph"/>
        <w:numPr>
          <w:ilvl w:val="0"/>
          <w:numId w:val="25"/>
        </w:numPr>
        <w:rPr>
          <w:rFonts w:eastAsiaTheme="minorEastAsia" w:cstheme="minorHAnsi"/>
        </w:rPr>
      </w:pPr>
      <w:r w:rsidRPr="00500F11">
        <w:rPr>
          <w:rFonts w:eastAsiaTheme="minorEastAsia" w:cstheme="minorHAnsi"/>
        </w:rPr>
        <w:t>Developing processes aimed at recognising and mitigating the impact of Covid-19 on careers to ensure colleagues are not disadvantaged as</w:t>
      </w:r>
      <w:r>
        <w:rPr>
          <w:rFonts w:eastAsiaTheme="minorEastAsia" w:cstheme="minorHAnsi"/>
        </w:rPr>
        <w:t xml:space="preserve"> </w:t>
      </w:r>
      <w:r w:rsidRPr="00500F11">
        <w:rPr>
          <w:rFonts w:eastAsiaTheme="minorEastAsia" w:cstheme="minorHAnsi"/>
        </w:rPr>
        <w:t>a result of extenuating circumstances.</w:t>
      </w:r>
    </w:p>
    <w:p w14:paraId="5271891A" w14:textId="129FBA1E" w:rsidR="00500F11" w:rsidRDefault="00500F11" w:rsidP="00DC6B4B">
      <w:pPr>
        <w:pStyle w:val="ListParagraph"/>
        <w:numPr>
          <w:ilvl w:val="0"/>
          <w:numId w:val="25"/>
        </w:numPr>
        <w:rPr>
          <w:rFonts w:eastAsiaTheme="minorEastAsia" w:cstheme="minorHAnsi"/>
        </w:rPr>
      </w:pPr>
      <w:r w:rsidRPr="00500F11">
        <w:rPr>
          <w:rFonts w:eastAsiaTheme="minorEastAsia" w:cstheme="minorHAnsi"/>
        </w:rPr>
        <w:t xml:space="preserve">Introducing further career progression support for academic colleagues, </w:t>
      </w:r>
      <w:proofErr w:type="gramStart"/>
      <w:r w:rsidRPr="00500F11">
        <w:rPr>
          <w:rFonts w:eastAsiaTheme="minorEastAsia" w:cstheme="minorHAnsi"/>
        </w:rPr>
        <w:t>including:</w:t>
      </w:r>
      <w:proofErr w:type="gramEnd"/>
      <w:r w:rsidRPr="00500F11">
        <w:rPr>
          <w:rFonts w:eastAsiaTheme="minorEastAsia" w:cstheme="minorHAnsi"/>
        </w:rPr>
        <w:t xml:space="preserve"> Increasing the number of promotions workshops available; Supporting academic units to create advisory panels to improve support for colleagues planning on applying for promotion; Enhancing the application and guidance; Modifying our External Assessor process for senior promotions (Professor/Reader) to involve them at an earlier stage for all applications.</w:t>
      </w:r>
    </w:p>
    <w:p w14:paraId="14B3D0BE" w14:textId="5F6838C1" w:rsidR="00500F11" w:rsidRPr="00500F11" w:rsidRDefault="00500F11" w:rsidP="00DC6B4B">
      <w:pPr>
        <w:pStyle w:val="ListParagraph"/>
        <w:numPr>
          <w:ilvl w:val="0"/>
          <w:numId w:val="25"/>
        </w:numPr>
        <w:rPr>
          <w:rFonts w:eastAsiaTheme="minorEastAsia" w:cstheme="minorHAnsi"/>
        </w:rPr>
      </w:pPr>
      <w:r w:rsidRPr="00500F11">
        <w:rPr>
          <w:rFonts w:eastAsiaTheme="minorEastAsia" w:cstheme="minorHAnsi"/>
        </w:rPr>
        <w:t>Following enhancements to the promotions process, the overall success rate for promotion to the role of Professor has increased from 70% to 73%. Within this, the success rates of females being promoted to the role of Professor has increased by 15%, from 78%to 93%. Whilst the success rates of minoritised ethnic colleagues being promoted to Professor has increased by 22%, from 40% to 60%. In relation to those applying for promotion to the role of Reader, overall success rates have increased from 58% to 63%, with the success rates of females increasing by 22%, from 60% to 82%. The success rates of minoritised ethnic colleagues applying for promotion to the role of Reader increased by 56%, from 20% to 76%.</w:t>
      </w:r>
    </w:p>
    <w:p w14:paraId="3EA72731" w14:textId="70BC8F14" w:rsidR="3CC113C7" w:rsidRDefault="18DB8279" w:rsidP="3C4DAE66">
      <w:pPr>
        <w:pStyle w:val="Heading3"/>
        <w:rPr>
          <w:rFonts w:ascii="Calibri Light" w:hAnsi="Calibri Light"/>
          <w:b/>
          <w:bCs/>
          <w:i/>
          <w:iCs/>
          <w:color w:val="1F3763"/>
        </w:rPr>
      </w:pPr>
      <w:bookmarkStart w:id="66" w:name="_Toc86832898"/>
      <w:bookmarkStart w:id="67" w:name="_Toc87435066"/>
      <w:bookmarkStart w:id="68" w:name="_Toc87856807"/>
      <w:bookmarkStart w:id="69" w:name="_Toc94185416"/>
      <w:bookmarkEnd w:id="65"/>
      <w:r w:rsidRPr="3C4DAE66">
        <w:rPr>
          <w:b/>
          <w:bCs/>
        </w:rPr>
        <w:t>Priorities for 202</w:t>
      </w:r>
      <w:r w:rsidR="00777957">
        <w:rPr>
          <w:b/>
          <w:bCs/>
        </w:rPr>
        <w:t>2</w:t>
      </w:r>
      <w:r w:rsidRPr="3C4DAE66">
        <w:rPr>
          <w:b/>
          <w:bCs/>
        </w:rPr>
        <w:t>-2</w:t>
      </w:r>
      <w:r w:rsidR="00777957">
        <w:rPr>
          <w:b/>
          <w:bCs/>
        </w:rPr>
        <w:t>3</w:t>
      </w:r>
      <w:r w:rsidRPr="3C4DAE66">
        <w:rPr>
          <w:b/>
          <w:bCs/>
        </w:rPr>
        <w:t>:</w:t>
      </w:r>
      <w:bookmarkEnd w:id="66"/>
      <w:bookmarkEnd w:id="67"/>
      <w:bookmarkEnd w:id="68"/>
      <w:bookmarkEnd w:id="69"/>
    </w:p>
    <w:p w14:paraId="2CF1565E" w14:textId="3575DD19" w:rsidR="00500F11" w:rsidRPr="00500F11" w:rsidRDefault="00500F11" w:rsidP="00DC6B4B">
      <w:pPr>
        <w:pStyle w:val="ListParagraph"/>
        <w:numPr>
          <w:ilvl w:val="0"/>
          <w:numId w:val="26"/>
        </w:numPr>
        <w:rPr>
          <w:rFonts w:ascii="Calibri" w:eastAsia="Calibri" w:hAnsi="Calibri" w:cs="Calibri"/>
        </w:rPr>
      </w:pPr>
      <w:r w:rsidRPr="00500F11">
        <w:rPr>
          <w:rFonts w:ascii="Calibri" w:eastAsia="Calibri" w:hAnsi="Calibri" w:cs="Calibri"/>
        </w:rPr>
        <w:t>Encouraging colleagues to set up and use academic advisory panels which provide pre-application support for academic colleagues.</w:t>
      </w:r>
    </w:p>
    <w:p w14:paraId="728ED00C" w14:textId="77777777" w:rsidR="00B62BC8" w:rsidRPr="00B62BC8" w:rsidRDefault="00B62BC8" w:rsidP="00DC6B4B">
      <w:pPr>
        <w:pStyle w:val="ListParagraph"/>
        <w:numPr>
          <w:ilvl w:val="0"/>
          <w:numId w:val="26"/>
        </w:numPr>
        <w:rPr>
          <w:rFonts w:eastAsiaTheme="minorEastAsia"/>
          <w:color w:val="000000" w:themeColor="text1"/>
        </w:rPr>
      </w:pPr>
      <w:r w:rsidRPr="00B62BC8">
        <w:rPr>
          <w:rFonts w:ascii="Calibri" w:eastAsia="Calibri" w:hAnsi="Calibri" w:cs="Calibri"/>
        </w:rPr>
        <w:t>Develop and implement the</w:t>
      </w:r>
      <w:r w:rsidR="00500F11" w:rsidRPr="00B62BC8">
        <w:rPr>
          <w:rFonts w:ascii="Calibri" w:eastAsia="Calibri" w:hAnsi="Calibri" w:cs="Calibri"/>
        </w:rPr>
        <w:t xml:space="preserve"> strategy and project plan to reduce the contracted working week for colleagues from 40 to 37 by 2025-26.</w:t>
      </w:r>
      <w:r w:rsidR="005320DD" w:rsidRPr="00B62BC8">
        <w:rPr>
          <w:rFonts w:ascii="Calibri" w:eastAsia="Calibri" w:hAnsi="Calibri" w:cs="Calibri"/>
        </w:rPr>
        <w:t xml:space="preserve"> </w:t>
      </w:r>
    </w:p>
    <w:p w14:paraId="0D7FD1A8" w14:textId="2CE89AFE" w:rsidR="592BD180" w:rsidRPr="00B62BC8" w:rsidRDefault="00500F11" w:rsidP="00DC6B4B">
      <w:pPr>
        <w:pStyle w:val="ListParagraph"/>
        <w:numPr>
          <w:ilvl w:val="0"/>
          <w:numId w:val="26"/>
        </w:numPr>
        <w:rPr>
          <w:rFonts w:eastAsiaTheme="minorEastAsia"/>
          <w:color w:val="000000" w:themeColor="text1"/>
        </w:rPr>
      </w:pPr>
      <w:r w:rsidRPr="00B62BC8">
        <w:rPr>
          <w:rFonts w:ascii="Calibri" w:eastAsia="Calibri" w:hAnsi="Calibri" w:cs="Calibri"/>
        </w:rPr>
        <w:t xml:space="preserve">Improving pay inequality at the University, </w:t>
      </w:r>
      <w:r w:rsidRPr="00B62BC8">
        <w:rPr>
          <w:rFonts w:ascii="Calibri" w:eastAsia="Calibri" w:hAnsi="Calibri" w:cs="Calibri"/>
        </w:rPr>
        <w:lastRenderedPageBreak/>
        <w:t xml:space="preserve">including working with our </w:t>
      </w:r>
      <w:proofErr w:type="gramStart"/>
      <w:r w:rsidRPr="00B62BC8">
        <w:rPr>
          <w:rFonts w:ascii="Calibri" w:eastAsia="Calibri" w:hAnsi="Calibri" w:cs="Calibri"/>
        </w:rPr>
        <w:t>trades</w:t>
      </w:r>
      <w:proofErr w:type="gramEnd"/>
      <w:r w:rsidRPr="00B62BC8">
        <w:rPr>
          <w:rFonts w:ascii="Calibri" w:eastAsia="Calibri" w:hAnsi="Calibri" w:cs="Calibri"/>
        </w:rPr>
        <w:t xml:space="preserve"> unions via</w:t>
      </w:r>
      <w:r w:rsidR="00507A3A" w:rsidRPr="00B62BC8">
        <w:rPr>
          <w:rFonts w:ascii="Calibri" w:eastAsia="Calibri" w:hAnsi="Calibri" w:cs="Calibri"/>
        </w:rPr>
        <w:t xml:space="preserve"> </w:t>
      </w:r>
      <w:r w:rsidRPr="005320DD">
        <w:t>a single table Joint Negotiating Committee (commencing in 2022) to approve mechanisms to reduce the pay gap year on year.</w:t>
      </w:r>
    </w:p>
    <w:p w14:paraId="4FB93B16" w14:textId="1C2D21E3" w:rsidR="00500F11" w:rsidRPr="00500F11" w:rsidRDefault="00500F11" w:rsidP="00DC6B4B">
      <w:pPr>
        <w:pStyle w:val="ListParagraph"/>
        <w:numPr>
          <w:ilvl w:val="0"/>
          <w:numId w:val="26"/>
        </w:numPr>
        <w:rPr>
          <w:rFonts w:eastAsiaTheme="minorEastAsia"/>
          <w:color w:val="000000" w:themeColor="text1"/>
        </w:rPr>
      </w:pPr>
      <w:r w:rsidRPr="00500F11">
        <w:rPr>
          <w:rFonts w:eastAsiaTheme="minorEastAsia"/>
          <w:color w:val="000000" w:themeColor="text1"/>
        </w:rPr>
        <w:t>Developing inclusive leadership as a key driver for positive change.</w:t>
      </w:r>
    </w:p>
    <w:p w14:paraId="31C3355B" w14:textId="1DBC8D02" w:rsidR="00500F11" w:rsidRPr="00B62BC8" w:rsidRDefault="00500F11" w:rsidP="00DC6B4B">
      <w:pPr>
        <w:pStyle w:val="ListParagraph"/>
        <w:numPr>
          <w:ilvl w:val="0"/>
          <w:numId w:val="26"/>
        </w:numPr>
        <w:rPr>
          <w:rFonts w:eastAsiaTheme="minorEastAsia"/>
          <w:color w:val="000000" w:themeColor="text1"/>
        </w:rPr>
      </w:pPr>
      <w:r w:rsidRPr="00500F11">
        <w:rPr>
          <w:rFonts w:eastAsiaTheme="minorEastAsia"/>
          <w:color w:val="000000" w:themeColor="text1"/>
        </w:rPr>
        <w:t>Utilise our Conversations and Priorities approach to nurture the careers of our diverse range</w:t>
      </w:r>
      <w:r w:rsidR="00B62BC8">
        <w:rPr>
          <w:rFonts w:eastAsiaTheme="minorEastAsia"/>
          <w:color w:val="000000" w:themeColor="text1"/>
        </w:rPr>
        <w:t xml:space="preserve"> </w:t>
      </w:r>
      <w:r w:rsidRPr="00B62BC8">
        <w:rPr>
          <w:rFonts w:eastAsiaTheme="minorEastAsia"/>
          <w:color w:val="000000" w:themeColor="text1"/>
        </w:rPr>
        <w:t>of colleagues and recognise people’s lived experiences.</w:t>
      </w:r>
    </w:p>
    <w:p w14:paraId="28E2B848" w14:textId="788C1230" w:rsidR="00500F11" w:rsidRPr="00500F11" w:rsidRDefault="00500F11" w:rsidP="00DC6B4B">
      <w:pPr>
        <w:pStyle w:val="ListParagraph"/>
        <w:numPr>
          <w:ilvl w:val="0"/>
          <w:numId w:val="26"/>
        </w:numPr>
        <w:rPr>
          <w:rFonts w:eastAsiaTheme="minorEastAsia"/>
          <w:color w:val="000000" w:themeColor="text1"/>
        </w:rPr>
      </w:pPr>
      <w:r w:rsidRPr="00500F11">
        <w:rPr>
          <w:rFonts w:eastAsiaTheme="minorEastAsia"/>
          <w:color w:val="000000" w:themeColor="text1"/>
        </w:rPr>
        <w:t>Identifying key talent decision points and supporting inclusive decision making at these key points of need.</w:t>
      </w:r>
    </w:p>
    <w:p w14:paraId="63D37186" w14:textId="1107CCDD" w:rsidR="00500F11" w:rsidRDefault="00500F11" w:rsidP="00DC6B4B">
      <w:pPr>
        <w:pStyle w:val="ListParagraph"/>
        <w:numPr>
          <w:ilvl w:val="0"/>
          <w:numId w:val="26"/>
        </w:numPr>
        <w:rPr>
          <w:rFonts w:eastAsiaTheme="minorEastAsia"/>
          <w:color w:val="000000" w:themeColor="text1"/>
        </w:rPr>
      </w:pPr>
      <w:r w:rsidRPr="00500F11">
        <w:rPr>
          <w:rFonts w:eastAsiaTheme="minorEastAsia"/>
          <w:color w:val="000000" w:themeColor="text1"/>
        </w:rPr>
        <w:t>Adding more structure and clarity to our talent approach, ensuring clear roles and responsibilities and the creation of Faculty and Hub talent plans.</w:t>
      </w:r>
    </w:p>
    <w:p w14:paraId="1CEC6B01" w14:textId="2728DEE0" w:rsidR="00500F11" w:rsidRPr="00500F11" w:rsidRDefault="00500F11" w:rsidP="00DC6B4B">
      <w:pPr>
        <w:pStyle w:val="ListParagraph"/>
        <w:numPr>
          <w:ilvl w:val="0"/>
          <w:numId w:val="26"/>
        </w:numPr>
        <w:rPr>
          <w:rFonts w:eastAsiaTheme="minorEastAsia"/>
          <w:color w:val="000000" w:themeColor="text1"/>
        </w:rPr>
      </w:pPr>
      <w:r w:rsidRPr="00500F11">
        <w:rPr>
          <w:rFonts w:eastAsiaTheme="minorEastAsia"/>
          <w:color w:val="000000" w:themeColor="text1"/>
        </w:rPr>
        <w:t>Providing opportunities for colleagues from a broader range of protected characteristic groups to join the Inclusive Futures programme.</w:t>
      </w:r>
    </w:p>
    <w:p w14:paraId="734AE777" w14:textId="6AF006BD" w:rsidR="00500F11" w:rsidRDefault="00500F11" w:rsidP="00DC6B4B">
      <w:pPr>
        <w:pStyle w:val="ListParagraph"/>
        <w:numPr>
          <w:ilvl w:val="0"/>
          <w:numId w:val="26"/>
        </w:numPr>
        <w:rPr>
          <w:rFonts w:eastAsiaTheme="minorEastAsia"/>
          <w:color w:val="000000" w:themeColor="text1"/>
        </w:rPr>
      </w:pPr>
      <w:r w:rsidRPr="00500F11">
        <w:rPr>
          <w:rFonts w:eastAsiaTheme="minorEastAsia"/>
          <w:color w:val="000000" w:themeColor="text1"/>
        </w:rPr>
        <w:t>Building a leadership pipeline approach, ensuring we build our pipeline from earlier career points to help develop a more diverse talent pool.</w:t>
      </w:r>
    </w:p>
    <w:p w14:paraId="5DFEB0D3" w14:textId="6381C1DF" w:rsidR="6EFCE255" w:rsidRDefault="6EFCE255" w:rsidP="0EFFAC96">
      <w:pPr>
        <w:pStyle w:val="NoSpacing"/>
        <w:rPr>
          <w:rFonts w:eastAsia="Calibri"/>
          <w:b/>
          <w:bCs/>
        </w:rPr>
      </w:pPr>
    </w:p>
    <w:p w14:paraId="269D3923" w14:textId="6A92453C" w:rsidR="007271D8" w:rsidRDefault="007271D8" w:rsidP="00DC6B4B">
      <w:pPr>
        <w:pStyle w:val="Heading2"/>
        <w:numPr>
          <w:ilvl w:val="0"/>
          <w:numId w:val="2"/>
        </w:numPr>
        <w:rPr>
          <w:b/>
          <w:bCs/>
        </w:rPr>
      </w:pPr>
      <w:bookmarkStart w:id="70" w:name="_Toc86832899"/>
      <w:bookmarkStart w:id="71" w:name="_Toc94185417"/>
      <w:r w:rsidRPr="53766C39">
        <w:rPr>
          <w:b/>
          <w:bCs/>
        </w:rPr>
        <w:t>Improve graduate outcomes for students with protected characteristics</w:t>
      </w:r>
      <w:bookmarkEnd w:id="70"/>
      <w:bookmarkEnd w:id="71"/>
      <w:r w:rsidRPr="53766C39">
        <w:rPr>
          <w:b/>
          <w:bCs/>
        </w:rPr>
        <w:t xml:space="preserve"> </w:t>
      </w:r>
    </w:p>
    <w:p w14:paraId="428157C4" w14:textId="7710DBD5" w:rsidR="007271D8" w:rsidRDefault="007271D8" w:rsidP="007271D8">
      <w:pPr>
        <w:pStyle w:val="NoSpacing"/>
        <w:rPr>
          <w:b/>
          <w:bCs/>
        </w:rPr>
      </w:pPr>
    </w:p>
    <w:p w14:paraId="0C8EE22D" w14:textId="6533CA22" w:rsidR="007271D8" w:rsidRDefault="5116662D" w:rsidP="53766C39">
      <w:pPr>
        <w:pStyle w:val="Heading3"/>
        <w:rPr>
          <w:rFonts w:ascii="Calibri Light" w:hAnsi="Calibri Light"/>
          <w:b/>
          <w:bCs/>
          <w:color w:val="1F3763"/>
        </w:rPr>
      </w:pPr>
      <w:bookmarkStart w:id="72" w:name="_Toc86832900"/>
      <w:bookmarkStart w:id="73" w:name="_Toc87435068"/>
      <w:bookmarkStart w:id="74" w:name="_Toc87856809"/>
      <w:bookmarkStart w:id="75" w:name="_Toc94185418"/>
      <w:r w:rsidRPr="53766C39">
        <w:rPr>
          <w:b/>
          <w:bCs/>
        </w:rPr>
        <w:t>Background to this objective</w:t>
      </w:r>
      <w:bookmarkEnd w:id="72"/>
      <w:bookmarkEnd w:id="73"/>
      <w:bookmarkEnd w:id="74"/>
      <w:bookmarkEnd w:id="75"/>
    </w:p>
    <w:p w14:paraId="16DA1F48" w14:textId="77777777" w:rsidR="00500F11" w:rsidRPr="00500F11" w:rsidRDefault="00500F11" w:rsidP="00500F11">
      <w:pPr>
        <w:rPr>
          <w:rFonts w:ascii="Calibri" w:eastAsia="Calibri" w:hAnsi="Calibri" w:cs="Calibri"/>
          <w:b/>
          <w:bCs/>
        </w:rPr>
      </w:pPr>
      <w:r w:rsidRPr="00500F11">
        <w:rPr>
          <w:rFonts w:ascii="Calibri" w:eastAsia="Calibri" w:hAnsi="Calibri" w:cs="Calibri"/>
          <w:b/>
          <w:bCs/>
        </w:rPr>
        <w:t>We seek to ensure a positive educational experience so all our students can achieve their potential – this means shifting our focus from notions of equality to delivering more genuine equity for all our students.  We recognise that this is challenging and complex work, but our commitment remains to pursuing this paradigm shift.</w:t>
      </w:r>
    </w:p>
    <w:p w14:paraId="48EEBC49" w14:textId="77777777" w:rsidR="00500F11" w:rsidRPr="00500F11" w:rsidRDefault="00500F11" w:rsidP="00500F11">
      <w:pPr>
        <w:rPr>
          <w:rFonts w:ascii="Calibri" w:eastAsia="Calibri" w:hAnsi="Calibri" w:cs="Calibri"/>
        </w:rPr>
      </w:pPr>
      <w:r w:rsidRPr="00500F11">
        <w:rPr>
          <w:rFonts w:ascii="Calibri" w:eastAsia="Calibri" w:hAnsi="Calibri" w:cs="Calibri"/>
        </w:rPr>
        <w:t>We want all our students to be able to develop a strong sense of belonging and community. This has been made more difficult for students as a result of the pandemic and we recognise our role in implementing evidence-led practices which proactively support all our students in feeling able to thrive in their studies as well as their wider pursuits.</w:t>
      </w:r>
    </w:p>
    <w:p w14:paraId="72B04EDA" w14:textId="7047B1BB" w:rsidR="00500F11" w:rsidRPr="00500F11" w:rsidRDefault="00500F11" w:rsidP="00500F11">
      <w:pPr>
        <w:rPr>
          <w:rFonts w:ascii="Calibri" w:eastAsia="Calibri" w:hAnsi="Calibri" w:cs="Calibri"/>
          <w:color w:val="201F1E"/>
        </w:rPr>
      </w:pPr>
      <w:r w:rsidRPr="00500F11">
        <w:rPr>
          <w:rFonts w:ascii="Calibri" w:eastAsia="Calibri" w:hAnsi="Calibri" w:cs="Calibri"/>
        </w:rPr>
        <w:t>Graduate outcomes remain variable for students from different groups, but this also varies by programme. We have identified</w:t>
      </w:r>
      <w:r>
        <w:rPr>
          <w:rFonts w:ascii="Calibri" w:eastAsia="Calibri" w:hAnsi="Calibri" w:cs="Calibri"/>
          <w:color w:val="201F1E"/>
        </w:rPr>
        <w:t xml:space="preserve"> </w:t>
      </w:r>
      <w:r w:rsidRPr="00500F11">
        <w:rPr>
          <w:rFonts w:ascii="Calibri" w:eastAsia="Calibri" w:hAnsi="Calibri" w:cs="Calibri"/>
          <w:color w:val="201F1E"/>
        </w:rPr>
        <w:t>persistent inequalities for certain groups in relation to degree awarding gaps and graduate outcomes, which we set out in our Access and Participation Plan (APP) 2020/21-2024/25 (APP).</w:t>
      </w:r>
    </w:p>
    <w:p w14:paraId="7A11CF39" w14:textId="049365D5" w:rsidR="018D4EC4" w:rsidRPr="0004677B" w:rsidRDefault="00500F11" w:rsidP="00500F11">
      <w:pPr>
        <w:rPr>
          <w:color w:val="201F1E"/>
        </w:rPr>
      </w:pPr>
      <w:r w:rsidRPr="00500F11">
        <w:rPr>
          <w:rFonts w:ascii="Calibri" w:eastAsia="Calibri" w:hAnsi="Calibri" w:cs="Calibri"/>
          <w:color w:val="201F1E"/>
        </w:rPr>
        <w:t>Our APP targets include reducing the degree awarding gap (First/2:1) between Black and White students by 10% points by 2024-25 and reducing the gap in positive destinations for students from underrepresented groups (including disabled, Black and global majority, and mature students) from 5% points to 2.5% points in 2024-25. Our awarding gap between Black and White students continues to narrow and we are on track to meet, and we hope to exceed, that target.</w:t>
      </w:r>
      <w:r w:rsidR="00345A1C" w:rsidRPr="0EFFAC96">
        <w:rPr>
          <w:rFonts w:ascii="Calibri" w:eastAsia="Calibri" w:hAnsi="Calibri" w:cs="Calibri"/>
          <w:color w:val="201F1E"/>
        </w:rPr>
        <w:t xml:space="preserve"> </w:t>
      </w:r>
    </w:p>
    <w:p w14:paraId="0041EA07" w14:textId="1DD1380E" w:rsidR="67255963" w:rsidRDefault="009070B4" w:rsidP="0EFFAC96">
      <w:pPr>
        <w:pStyle w:val="Heading3"/>
        <w:rPr>
          <w:rFonts w:ascii="Calibri Light" w:eastAsia="Yu Gothic Light" w:hAnsi="Calibri Light" w:cs="Times New Roman"/>
          <w:b/>
          <w:bCs/>
          <w:color w:val="1F3763"/>
        </w:rPr>
      </w:pPr>
      <w:r>
        <w:rPr>
          <w:b/>
          <w:bCs/>
        </w:rPr>
        <w:t>Highlights from 2021-22 activity include:</w:t>
      </w:r>
    </w:p>
    <w:p w14:paraId="17A161B7" w14:textId="5F716C9D" w:rsidR="009070B4" w:rsidRPr="009070B4" w:rsidRDefault="009070B4" w:rsidP="00DC6B4B">
      <w:pPr>
        <w:pStyle w:val="ListParagraph"/>
        <w:numPr>
          <w:ilvl w:val="0"/>
          <w:numId w:val="28"/>
        </w:numPr>
        <w:rPr>
          <w:rFonts w:ascii="Calibri" w:eastAsia="Calibri" w:hAnsi="Calibri" w:cs="Calibri"/>
          <w:color w:val="201F1E"/>
        </w:rPr>
      </w:pPr>
      <w:r w:rsidRPr="009070B4">
        <w:rPr>
          <w:rFonts w:ascii="Calibri" w:eastAsia="Calibri" w:hAnsi="Calibri" w:cs="Calibri"/>
          <w:color w:val="201F1E"/>
        </w:rPr>
        <w:t>Developing of additional priorities for the future delivery of our Access and Participation priorities.</w:t>
      </w:r>
    </w:p>
    <w:p w14:paraId="7F5D6CEA" w14:textId="68288637" w:rsidR="009070B4" w:rsidRPr="00B62BC8" w:rsidRDefault="009070B4" w:rsidP="00DC6B4B">
      <w:pPr>
        <w:pStyle w:val="ListParagraph"/>
        <w:numPr>
          <w:ilvl w:val="0"/>
          <w:numId w:val="28"/>
        </w:numPr>
        <w:rPr>
          <w:rFonts w:ascii="Calibri" w:eastAsia="Calibri" w:hAnsi="Calibri" w:cs="Calibri"/>
          <w:color w:val="201F1E"/>
        </w:rPr>
      </w:pPr>
      <w:r w:rsidRPr="00B62BC8">
        <w:rPr>
          <w:rFonts w:ascii="Calibri" w:eastAsia="Calibri" w:hAnsi="Calibri" w:cs="Calibri"/>
          <w:color w:val="201F1E"/>
        </w:rPr>
        <w:t>Extensive research to better understand what we can do to support students’</w:t>
      </w:r>
      <w:r w:rsidR="00B62BC8" w:rsidRPr="00B62BC8">
        <w:rPr>
          <w:rFonts w:ascii="Calibri" w:eastAsia="Calibri" w:hAnsi="Calibri" w:cs="Calibri"/>
          <w:color w:val="201F1E"/>
        </w:rPr>
        <w:t xml:space="preserve"> </w:t>
      </w:r>
      <w:r w:rsidRPr="00B62BC8">
        <w:rPr>
          <w:rFonts w:ascii="Calibri" w:eastAsia="Calibri" w:hAnsi="Calibri" w:cs="Calibri"/>
          <w:color w:val="201F1E"/>
        </w:rPr>
        <w:t>sense of belonging, with special focus on students from underrepresented groups; this included presenting our findings at national conferences.</w:t>
      </w:r>
    </w:p>
    <w:p w14:paraId="416A1FBA" w14:textId="28989CB8" w:rsidR="009070B4" w:rsidRPr="009070B4" w:rsidRDefault="009070B4" w:rsidP="00DC6B4B">
      <w:pPr>
        <w:pStyle w:val="ListParagraph"/>
        <w:numPr>
          <w:ilvl w:val="0"/>
          <w:numId w:val="27"/>
        </w:numPr>
        <w:rPr>
          <w:rFonts w:ascii="Calibri" w:eastAsia="Calibri" w:hAnsi="Calibri" w:cs="Calibri"/>
          <w:color w:val="201F1E"/>
        </w:rPr>
      </w:pPr>
      <w:r w:rsidRPr="009070B4">
        <w:rPr>
          <w:rFonts w:ascii="Calibri" w:eastAsia="Calibri" w:hAnsi="Calibri" w:cs="Calibri"/>
          <w:color w:val="201F1E"/>
        </w:rPr>
        <w:t>A project in the faculty of Science, Agriculture and Engineering to learn about and support the development of peer networks for students from underrepresented groups</w:t>
      </w:r>
      <w:r>
        <w:rPr>
          <w:rFonts w:ascii="Calibri" w:eastAsia="Calibri" w:hAnsi="Calibri" w:cs="Calibri"/>
          <w:color w:val="201F1E"/>
        </w:rPr>
        <w:t>.</w:t>
      </w:r>
    </w:p>
    <w:p w14:paraId="1F50081A" w14:textId="3C49CED5" w:rsidR="009070B4" w:rsidRPr="009070B4" w:rsidRDefault="009070B4" w:rsidP="00DC6B4B">
      <w:pPr>
        <w:pStyle w:val="ListParagraph"/>
        <w:numPr>
          <w:ilvl w:val="0"/>
          <w:numId w:val="27"/>
        </w:numPr>
        <w:rPr>
          <w:rFonts w:ascii="Calibri" w:eastAsia="Calibri" w:hAnsi="Calibri" w:cs="Calibri"/>
          <w:color w:val="201F1E"/>
        </w:rPr>
      </w:pPr>
      <w:r w:rsidRPr="009070B4">
        <w:rPr>
          <w:rFonts w:ascii="Calibri" w:eastAsia="Calibri" w:hAnsi="Calibri" w:cs="Calibri"/>
          <w:color w:val="201F1E"/>
        </w:rPr>
        <w:t>The development and award of new scholarships for Black students and refugee and asylum-seeking students</w:t>
      </w:r>
      <w:r>
        <w:rPr>
          <w:rFonts w:ascii="Calibri" w:eastAsia="Calibri" w:hAnsi="Calibri" w:cs="Calibri"/>
          <w:color w:val="201F1E"/>
        </w:rPr>
        <w:t>.</w:t>
      </w:r>
    </w:p>
    <w:p w14:paraId="2F0D648A" w14:textId="5275E5FA" w:rsidR="07809E17" w:rsidRPr="009070B4" w:rsidRDefault="009070B4" w:rsidP="00DC6B4B">
      <w:pPr>
        <w:pStyle w:val="ListParagraph"/>
        <w:numPr>
          <w:ilvl w:val="0"/>
          <w:numId w:val="27"/>
        </w:numPr>
        <w:rPr>
          <w:rFonts w:eastAsiaTheme="minorEastAsia"/>
          <w:color w:val="201F1E"/>
        </w:rPr>
      </w:pPr>
      <w:r w:rsidRPr="009070B4">
        <w:rPr>
          <w:rFonts w:ascii="Calibri" w:eastAsia="Calibri" w:hAnsi="Calibri" w:cs="Calibri"/>
          <w:color w:val="201F1E"/>
        </w:rPr>
        <w:lastRenderedPageBreak/>
        <w:t>Working in a range of subject disciplines to continue to decolonise the curriculum and students’ learning experience</w:t>
      </w:r>
      <w:r w:rsidR="07809E17" w:rsidRPr="3C4DAE66">
        <w:rPr>
          <w:rFonts w:ascii="Calibri" w:eastAsia="Calibri" w:hAnsi="Calibri" w:cs="Calibri"/>
          <w:color w:val="201F1E"/>
        </w:rPr>
        <w:t>.</w:t>
      </w:r>
    </w:p>
    <w:p w14:paraId="078922FC" w14:textId="2B018782" w:rsidR="009070B4" w:rsidRPr="009070B4" w:rsidRDefault="009070B4" w:rsidP="00DC6B4B">
      <w:pPr>
        <w:pStyle w:val="ListParagraph"/>
        <w:numPr>
          <w:ilvl w:val="0"/>
          <w:numId w:val="27"/>
        </w:numPr>
        <w:rPr>
          <w:rFonts w:eastAsiaTheme="minorEastAsia"/>
          <w:color w:val="201F1E"/>
        </w:rPr>
      </w:pPr>
      <w:r w:rsidRPr="009070B4">
        <w:rPr>
          <w:rFonts w:eastAsiaTheme="minorEastAsia"/>
          <w:color w:val="201F1E"/>
        </w:rPr>
        <w:t>Participatory action research with students in Engineering to examine the causes of the awarding gap and design the solutions most likely to reduce it</w:t>
      </w:r>
      <w:r>
        <w:rPr>
          <w:rFonts w:eastAsiaTheme="minorEastAsia"/>
          <w:color w:val="201F1E"/>
        </w:rPr>
        <w:t>.</w:t>
      </w:r>
    </w:p>
    <w:p w14:paraId="330FE208" w14:textId="6F0BE9CA" w:rsidR="009070B4" w:rsidRPr="009070B4" w:rsidRDefault="009070B4" w:rsidP="00DC6B4B">
      <w:pPr>
        <w:pStyle w:val="ListParagraph"/>
        <w:numPr>
          <w:ilvl w:val="0"/>
          <w:numId w:val="27"/>
        </w:numPr>
        <w:rPr>
          <w:rFonts w:eastAsiaTheme="minorEastAsia"/>
          <w:color w:val="201F1E"/>
        </w:rPr>
      </w:pPr>
      <w:r w:rsidRPr="009070B4">
        <w:rPr>
          <w:rFonts w:eastAsiaTheme="minorEastAsia"/>
          <w:color w:val="201F1E"/>
        </w:rPr>
        <w:t>Collaboration between the University and NUSU to strengthen the role of student societies in offering support for students to develop their sense of belonging; this project has included additional funding for inclusive societies and will be evaluated with and by students</w:t>
      </w:r>
      <w:r>
        <w:rPr>
          <w:rFonts w:eastAsiaTheme="minorEastAsia"/>
          <w:color w:val="201F1E"/>
        </w:rPr>
        <w:t>.</w:t>
      </w:r>
    </w:p>
    <w:p w14:paraId="035F2780" w14:textId="45886DAA" w:rsidR="009070B4" w:rsidRPr="009070B4" w:rsidRDefault="009070B4" w:rsidP="00DC6B4B">
      <w:pPr>
        <w:pStyle w:val="ListParagraph"/>
        <w:numPr>
          <w:ilvl w:val="0"/>
          <w:numId w:val="27"/>
        </w:numPr>
        <w:rPr>
          <w:rFonts w:eastAsiaTheme="minorEastAsia"/>
          <w:color w:val="201F1E"/>
        </w:rPr>
      </w:pPr>
      <w:r w:rsidRPr="009070B4">
        <w:rPr>
          <w:rFonts w:eastAsiaTheme="minorEastAsia"/>
          <w:color w:val="201F1E"/>
        </w:rPr>
        <w:t>Developing a strengthened offer for care-experienced students under the Care Leaver Covenant</w:t>
      </w:r>
      <w:r>
        <w:rPr>
          <w:rFonts w:eastAsiaTheme="minorEastAsia"/>
          <w:color w:val="201F1E"/>
        </w:rPr>
        <w:t>.</w:t>
      </w:r>
    </w:p>
    <w:p w14:paraId="10049B96" w14:textId="4CF84FBE" w:rsidR="009070B4" w:rsidRDefault="009070B4" w:rsidP="00DC6B4B">
      <w:pPr>
        <w:pStyle w:val="ListParagraph"/>
        <w:numPr>
          <w:ilvl w:val="0"/>
          <w:numId w:val="27"/>
        </w:numPr>
        <w:rPr>
          <w:rFonts w:eastAsiaTheme="minorEastAsia"/>
          <w:color w:val="201F1E"/>
        </w:rPr>
      </w:pPr>
      <w:r w:rsidRPr="009070B4">
        <w:rPr>
          <w:rFonts w:eastAsiaTheme="minorEastAsia"/>
          <w:color w:val="201F1E"/>
        </w:rPr>
        <w:t>Working with members of the Roma community to understand and develop better practice to support their progression to Higher Education in the region; this will lead to our signing the GTRSB Pledge.</w:t>
      </w:r>
    </w:p>
    <w:p w14:paraId="4D946233" w14:textId="3FAC7D32" w:rsidR="484A7053" w:rsidRPr="0095264E" w:rsidRDefault="484A7053" w:rsidP="0EE17C8D">
      <w:pPr>
        <w:rPr>
          <w:rFonts w:ascii="Calibri" w:eastAsia="Calibri" w:hAnsi="Calibri" w:cs="Calibri"/>
          <w:b/>
          <w:bCs/>
          <w:color w:val="201F1E"/>
        </w:rPr>
      </w:pPr>
      <w:r w:rsidRPr="0095264E">
        <w:rPr>
          <w:rFonts w:ascii="Calibri" w:eastAsia="Calibri" w:hAnsi="Calibri" w:cs="Calibri"/>
          <w:b/>
          <w:bCs/>
          <w:color w:val="201F1E"/>
        </w:rPr>
        <w:t>Priorities 202</w:t>
      </w:r>
      <w:r w:rsidR="009070B4" w:rsidRPr="0095264E">
        <w:rPr>
          <w:rFonts w:ascii="Calibri" w:eastAsia="Calibri" w:hAnsi="Calibri" w:cs="Calibri"/>
          <w:b/>
          <w:bCs/>
          <w:color w:val="201F1E"/>
        </w:rPr>
        <w:t>2</w:t>
      </w:r>
      <w:r w:rsidRPr="0095264E">
        <w:rPr>
          <w:rFonts w:ascii="Calibri" w:eastAsia="Calibri" w:hAnsi="Calibri" w:cs="Calibri"/>
          <w:b/>
          <w:bCs/>
          <w:color w:val="201F1E"/>
        </w:rPr>
        <w:t>/2</w:t>
      </w:r>
      <w:r w:rsidR="009070B4" w:rsidRPr="0095264E">
        <w:rPr>
          <w:rFonts w:ascii="Calibri" w:eastAsia="Calibri" w:hAnsi="Calibri" w:cs="Calibri"/>
          <w:b/>
          <w:bCs/>
          <w:color w:val="201F1E"/>
        </w:rPr>
        <w:t>3</w:t>
      </w:r>
      <w:r w:rsidRPr="0095264E">
        <w:rPr>
          <w:rFonts w:ascii="Calibri" w:eastAsia="Calibri" w:hAnsi="Calibri" w:cs="Calibri"/>
          <w:b/>
          <w:bCs/>
          <w:color w:val="201F1E"/>
        </w:rPr>
        <w:t>:</w:t>
      </w:r>
    </w:p>
    <w:p w14:paraId="21E7E596" w14:textId="45F48A4B" w:rsidR="009070B4" w:rsidRPr="009070B4" w:rsidRDefault="009070B4" w:rsidP="00DC6B4B">
      <w:pPr>
        <w:pStyle w:val="ListParagraph"/>
        <w:numPr>
          <w:ilvl w:val="0"/>
          <w:numId w:val="29"/>
        </w:numPr>
        <w:rPr>
          <w:rFonts w:ascii="Calibri" w:eastAsia="Calibri" w:hAnsi="Calibri" w:cs="Calibri"/>
          <w:color w:val="201F1E"/>
        </w:rPr>
      </w:pPr>
      <w:r w:rsidRPr="009070B4">
        <w:rPr>
          <w:rFonts w:ascii="Calibri" w:eastAsia="Calibri" w:hAnsi="Calibri" w:cs="Calibri"/>
          <w:color w:val="201F1E"/>
        </w:rPr>
        <w:t>Providing better designed and more responsive outreach activity with Black and global majority applicants and their families, including those from Newcastle and the region.</w:t>
      </w:r>
    </w:p>
    <w:p w14:paraId="380146EF" w14:textId="5DEE28AF" w:rsidR="00AE06D2" w:rsidRPr="009070B4" w:rsidRDefault="009070B4" w:rsidP="00DC6B4B">
      <w:pPr>
        <w:pStyle w:val="ListParagraph"/>
        <w:numPr>
          <w:ilvl w:val="0"/>
          <w:numId w:val="29"/>
        </w:numPr>
        <w:rPr>
          <w:rFonts w:eastAsiaTheme="minorEastAsia"/>
          <w:color w:val="201F1E"/>
        </w:rPr>
      </w:pPr>
      <w:r w:rsidRPr="009070B4">
        <w:rPr>
          <w:rFonts w:ascii="Calibri" w:eastAsia="Calibri" w:hAnsi="Calibri" w:cs="Calibri"/>
          <w:color w:val="201F1E"/>
        </w:rPr>
        <w:t>Developing new and flexible curricula and qualifications, including apprenticeships to meet</w:t>
      </w:r>
      <w:r>
        <w:rPr>
          <w:rFonts w:ascii="Calibri" w:eastAsia="Calibri" w:hAnsi="Calibri" w:cs="Calibri"/>
          <w:color w:val="201F1E"/>
        </w:rPr>
        <w:t xml:space="preserve"> </w:t>
      </w:r>
      <w:r w:rsidRPr="009070B4">
        <w:rPr>
          <w:rFonts w:ascii="Calibri" w:eastAsia="Calibri" w:hAnsi="Calibri" w:cs="Calibri"/>
          <w:color w:val="201F1E"/>
        </w:rPr>
        <w:t>the needs of students from a wider range of backgrounds</w:t>
      </w:r>
      <w:r>
        <w:rPr>
          <w:rFonts w:ascii="Calibri" w:eastAsia="Calibri" w:hAnsi="Calibri" w:cs="Calibri"/>
          <w:color w:val="201F1E"/>
        </w:rPr>
        <w:t>.</w:t>
      </w:r>
    </w:p>
    <w:p w14:paraId="26AB00EC" w14:textId="1655F859" w:rsidR="009070B4" w:rsidRPr="009070B4" w:rsidRDefault="009070B4" w:rsidP="00DC6B4B">
      <w:pPr>
        <w:pStyle w:val="ListParagraph"/>
        <w:numPr>
          <w:ilvl w:val="0"/>
          <w:numId w:val="29"/>
        </w:numPr>
        <w:rPr>
          <w:rFonts w:eastAsiaTheme="minorEastAsia"/>
          <w:color w:val="201F1E"/>
        </w:rPr>
      </w:pPr>
      <w:r w:rsidRPr="009070B4">
        <w:rPr>
          <w:rFonts w:eastAsiaTheme="minorEastAsia"/>
          <w:color w:val="201F1E"/>
        </w:rPr>
        <w:t>Improving our use of data to identify areas in which our inclusive practice could be better supported.</w:t>
      </w:r>
    </w:p>
    <w:p w14:paraId="749281D9" w14:textId="04CBB850" w:rsidR="009070B4" w:rsidRDefault="009070B4" w:rsidP="00DC6B4B">
      <w:pPr>
        <w:pStyle w:val="ListParagraph"/>
        <w:numPr>
          <w:ilvl w:val="0"/>
          <w:numId w:val="29"/>
        </w:numPr>
        <w:rPr>
          <w:rFonts w:eastAsiaTheme="minorEastAsia"/>
          <w:color w:val="201F1E"/>
        </w:rPr>
      </w:pPr>
      <w:r w:rsidRPr="009070B4">
        <w:rPr>
          <w:rFonts w:eastAsiaTheme="minorEastAsia"/>
          <w:color w:val="201F1E"/>
        </w:rPr>
        <w:t>Strengthening levels of cultural sensitivity and understanding in our provision for students.</w:t>
      </w:r>
    </w:p>
    <w:p w14:paraId="4544884B" w14:textId="327A39EF" w:rsidR="009070B4" w:rsidRPr="009070B4" w:rsidRDefault="009070B4" w:rsidP="00DC6B4B">
      <w:pPr>
        <w:pStyle w:val="ListParagraph"/>
        <w:numPr>
          <w:ilvl w:val="0"/>
          <w:numId w:val="29"/>
        </w:numPr>
        <w:rPr>
          <w:rFonts w:eastAsiaTheme="minorEastAsia"/>
          <w:color w:val="201F1E"/>
        </w:rPr>
      </w:pPr>
      <w:r w:rsidRPr="009070B4">
        <w:rPr>
          <w:rFonts w:eastAsiaTheme="minorEastAsia"/>
          <w:color w:val="201F1E"/>
        </w:rPr>
        <w:t xml:space="preserve">Developing the new APP, according to the requirements of the Office for Students, to </w:t>
      </w:r>
      <w:r>
        <w:rPr>
          <w:rFonts w:eastAsiaTheme="minorEastAsia"/>
          <w:color w:val="201F1E"/>
        </w:rPr>
        <w:t>s</w:t>
      </w:r>
      <w:r w:rsidRPr="009070B4">
        <w:rPr>
          <w:rFonts w:eastAsiaTheme="minorEastAsia"/>
          <w:color w:val="201F1E"/>
        </w:rPr>
        <w:t>harpen our commitment to inclusive provision for our students.</w:t>
      </w:r>
    </w:p>
    <w:p w14:paraId="166A8013" w14:textId="00703125" w:rsidR="009070B4" w:rsidRPr="009070B4" w:rsidRDefault="009070B4" w:rsidP="00DC6B4B">
      <w:pPr>
        <w:pStyle w:val="ListParagraph"/>
        <w:numPr>
          <w:ilvl w:val="0"/>
          <w:numId w:val="29"/>
        </w:numPr>
        <w:rPr>
          <w:rFonts w:eastAsiaTheme="minorEastAsia"/>
          <w:color w:val="201F1E"/>
        </w:rPr>
      </w:pPr>
      <w:r w:rsidRPr="009070B4">
        <w:rPr>
          <w:rFonts w:eastAsiaTheme="minorEastAsia"/>
          <w:color w:val="201F1E"/>
        </w:rPr>
        <w:t>To deliver the actions set out in the students’ workstream of our REC application.</w:t>
      </w:r>
    </w:p>
    <w:p w14:paraId="293C2326" w14:textId="5C60E8AE" w:rsidR="533574C5" w:rsidRDefault="533574C5" w:rsidP="0EFFAC96">
      <w:pPr>
        <w:pStyle w:val="Heading3"/>
        <w:rPr>
          <w:rFonts w:ascii="Calibri Light" w:eastAsia="Yu Gothic Light" w:hAnsi="Calibri Light" w:cs="Times New Roman"/>
          <w:b/>
          <w:bCs/>
          <w:color w:val="1F3763"/>
        </w:rPr>
      </w:pPr>
      <w:bookmarkStart w:id="76" w:name="_Toc86832903"/>
      <w:bookmarkStart w:id="77" w:name="_Toc87435071"/>
      <w:bookmarkStart w:id="78" w:name="_Toc87856812"/>
      <w:bookmarkStart w:id="79" w:name="_Toc94185421"/>
      <w:r w:rsidRPr="0EE17C8D">
        <w:rPr>
          <w:b/>
          <w:bCs/>
        </w:rPr>
        <w:t>NUSU</w:t>
      </w:r>
      <w:r w:rsidR="17564930" w:rsidRPr="0EE17C8D">
        <w:rPr>
          <w:b/>
          <w:bCs/>
        </w:rPr>
        <w:t xml:space="preserve"> activity</w:t>
      </w:r>
      <w:bookmarkEnd w:id="76"/>
      <w:bookmarkEnd w:id="77"/>
      <w:bookmarkEnd w:id="78"/>
      <w:bookmarkEnd w:id="79"/>
    </w:p>
    <w:p w14:paraId="09DC75B6" w14:textId="69067081" w:rsidR="22CB31A2" w:rsidRDefault="009070B4" w:rsidP="0EE17C8D">
      <w:pPr>
        <w:rPr>
          <w:rFonts w:ascii="Calibri" w:eastAsia="Calibri" w:hAnsi="Calibri" w:cs="Calibri"/>
          <w:color w:val="201F1E"/>
        </w:rPr>
      </w:pPr>
      <w:r w:rsidRPr="009070B4">
        <w:rPr>
          <w:rFonts w:ascii="Calibri" w:eastAsia="Calibri" w:hAnsi="Calibri" w:cs="Calibri"/>
          <w:color w:val="201F1E"/>
        </w:rPr>
        <w:t>In 2021-22, NUSU undertook the following activity relating to anti-racism and supporting students from protected characteristic groups:</w:t>
      </w:r>
    </w:p>
    <w:p w14:paraId="06D045A3" w14:textId="7A88A97E" w:rsidR="009070B4" w:rsidRDefault="009070B4" w:rsidP="00DC6B4B">
      <w:pPr>
        <w:pStyle w:val="ListParagraph"/>
        <w:numPr>
          <w:ilvl w:val="0"/>
          <w:numId w:val="30"/>
        </w:numPr>
        <w:tabs>
          <w:tab w:val="left" w:pos="720"/>
        </w:tabs>
      </w:pPr>
      <w:r>
        <w:t>Launching Claiming Your Space, a project that aimed to amplify the experiences of minoritised ethnic students by creating a space where they can discuss and form a community.</w:t>
      </w:r>
    </w:p>
    <w:p w14:paraId="45772498" w14:textId="3659F71F" w:rsidR="60F88BB2" w:rsidRPr="00B62BC8" w:rsidRDefault="009070B4" w:rsidP="00DC6B4B">
      <w:pPr>
        <w:pStyle w:val="ListParagraph"/>
        <w:numPr>
          <w:ilvl w:val="0"/>
          <w:numId w:val="30"/>
        </w:numPr>
        <w:tabs>
          <w:tab w:val="left" w:pos="720"/>
        </w:tabs>
        <w:rPr>
          <w:rFonts w:eastAsiaTheme="minorEastAsia"/>
          <w:color w:val="000000" w:themeColor="text1"/>
        </w:rPr>
      </w:pPr>
      <w:r>
        <w:t>Delivering the NUSU Buddies volunteer programme which provides peer mentoring support to students from underrepresented groups.</w:t>
      </w:r>
    </w:p>
    <w:p w14:paraId="1B043FBF" w14:textId="2774F43D" w:rsidR="009070B4" w:rsidRPr="00B62BC8" w:rsidRDefault="009070B4" w:rsidP="00DC6B4B">
      <w:pPr>
        <w:pStyle w:val="ListParagraph"/>
        <w:numPr>
          <w:ilvl w:val="0"/>
          <w:numId w:val="30"/>
        </w:numPr>
        <w:tabs>
          <w:tab w:val="left" w:pos="720"/>
        </w:tabs>
        <w:rPr>
          <w:rFonts w:eastAsiaTheme="minorEastAsia"/>
          <w:color w:val="000000" w:themeColor="text1"/>
        </w:rPr>
      </w:pPr>
      <w:r w:rsidRPr="00B62BC8">
        <w:rPr>
          <w:rFonts w:eastAsiaTheme="minorEastAsia"/>
          <w:color w:val="000000" w:themeColor="text1"/>
        </w:rPr>
        <w:t>Providing Participation bursaries which financially support students from underrepresented groups to get involved in extra-curricular activities.</w:t>
      </w:r>
    </w:p>
    <w:p w14:paraId="346A2E90" w14:textId="7396A561" w:rsidR="009070B4" w:rsidRPr="00B62BC8" w:rsidRDefault="009070B4" w:rsidP="00DC6B4B">
      <w:pPr>
        <w:pStyle w:val="ListParagraph"/>
        <w:numPr>
          <w:ilvl w:val="0"/>
          <w:numId w:val="30"/>
        </w:numPr>
        <w:tabs>
          <w:tab w:val="left" w:pos="720"/>
        </w:tabs>
        <w:rPr>
          <w:rFonts w:eastAsiaTheme="minorEastAsia"/>
          <w:color w:val="000000" w:themeColor="text1"/>
        </w:rPr>
      </w:pPr>
      <w:r w:rsidRPr="00B62BC8">
        <w:rPr>
          <w:rFonts w:eastAsiaTheme="minorEastAsia"/>
          <w:color w:val="000000" w:themeColor="text1"/>
        </w:rPr>
        <w:t>Taking part in Inclusive Newcastle, a scheme to assist students with disabilities or long-term health conditions to take part in NUSU activities.</w:t>
      </w:r>
    </w:p>
    <w:p w14:paraId="50DB65E8" w14:textId="60D497A6" w:rsidR="00087CB8" w:rsidRPr="0095264E" w:rsidRDefault="15E64CA0" w:rsidP="0EE17C8D">
      <w:pPr>
        <w:tabs>
          <w:tab w:val="left" w:pos="720"/>
        </w:tabs>
        <w:rPr>
          <w:rFonts w:eastAsiaTheme="minorEastAsia"/>
          <w:b/>
          <w:bCs/>
          <w:color w:val="000000" w:themeColor="text1"/>
        </w:rPr>
      </w:pPr>
      <w:r w:rsidRPr="0095264E">
        <w:rPr>
          <w:rFonts w:eastAsiaTheme="minorEastAsia"/>
          <w:b/>
          <w:bCs/>
          <w:color w:val="000000" w:themeColor="text1"/>
        </w:rPr>
        <w:t>Priorities 202</w:t>
      </w:r>
      <w:r w:rsidR="009070B4" w:rsidRPr="0095264E">
        <w:rPr>
          <w:rFonts w:eastAsiaTheme="minorEastAsia"/>
          <w:b/>
          <w:bCs/>
          <w:color w:val="000000" w:themeColor="text1"/>
        </w:rPr>
        <w:t>2</w:t>
      </w:r>
      <w:r w:rsidRPr="0095264E">
        <w:rPr>
          <w:rFonts w:eastAsiaTheme="minorEastAsia"/>
          <w:b/>
          <w:bCs/>
          <w:color w:val="000000" w:themeColor="text1"/>
        </w:rPr>
        <w:t>/2</w:t>
      </w:r>
      <w:r w:rsidR="009070B4" w:rsidRPr="0095264E">
        <w:rPr>
          <w:rFonts w:eastAsiaTheme="minorEastAsia"/>
          <w:b/>
          <w:bCs/>
          <w:color w:val="000000" w:themeColor="text1"/>
        </w:rPr>
        <w:t>3</w:t>
      </w:r>
      <w:r w:rsidRPr="0095264E">
        <w:rPr>
          <w:rFonts w:eastAsiaTheme="minorEastAsia"/>
          <w:b/>
          <w:bCs/>
          <w:color w:val="000000" w:themeColor="text1"/>
        </w:rPr>
        <w:t>:</w:t>
      </w:r>
    </w:p>
    <w:p w14:paraId="669F19DE" w14:textId="52FCCFC3" w:rsidR="009070B4" w:rsidRDefault="009070B4" w:rsidP="00DC6B4B">
      <w:pPr>
        <w:pStyle w:val="ListParagraph"/>
        <w:numPr>
          <w:ilvl w:val="0"/>
          <w:numId w:val="31"/>
        </w:numPr>
      </w:pPr>
      <w:r>
        <w:t>Raising awareness of hidden disabilities on campus.</w:t>
      </w:r>
    </w:p>
    <w:p w14:paraId="78BD22F3" w14:textId="0EDCC8AD" w:rsidR="00087CB8" w:rsidRPr="008C40C1" w:rsidRDefault="009070B4" w:rsidP="00DC6B4B">
      <w:pPr>
        <w:pStyle w:val="ListParagraph"/>
        <w:numPr>
          <w:ilvl w:val="0"/>
          <w:numId w:val="31"/>
        </w:numPr>
        <w:rPr>
          <w:rFonts w:asciiTheme="minorEastAsia" w:hAnsiTheme="minorEastAsia" w:cstheme="minorEastAsia"/>
        </w:rPr>
      </w:pPr>
      <w:r>
        <w:t>Further support and training opportunities for Liberation Officers</w:t>
      </w:r>
      <w:r w:rsidR="15E64CA0" w:rsidRPr="0EFFAC96">
        <w:t>.</w:t>
      </w:r>
    </w:p>
    <w:p w14:paraId="5EA75038" w14:textId="0A1532F5" w:rsidR="009B79CC" w:rsidRPr="007271D8" w:rsidRDefault="009B79CC" w:rsidP="3905B53E"/>
    <w:p w14:paraId="7987C69C" w14:textId="48B4F80E" w:rsidR="009B79CC" w:rsidRDefault="33509E6B" w:rsidP="00DC6B4B">
      <w:pPr>
        <w:pStyle w:val="Heading2"/>
        <w:numPr>
          <w:ilvl w:val="0"/>
          <w:numId w:val="2"/>
        </w:numPr>
        <w:rPr>
          <w:b/>
          <w:bCs/>
        </w:rPr>
      </w:pPr>
      <w:bookmarkStart w:id="80" w:name="_Toc86832904"/>
      <w:bookmarkStart w:id="81" w:name="_Toc94185422"/>
      <w:r w:rsidRPr="53766C39">
        <w:rPr>
          <w:b/>
          <w:bCs/>
        </w:rPr>
        <w:t>Become a f</w:t>
      </w:r>
      <w:r w:rsidR="009B79CC" w:rsidRPr="53766C39">
        <w:rPr>
          <w:b/>
          <w:bCs/>
        </w:rPr>
        <w:t>amily friendly organisation</w:t>
      </w:r>
      <w:bookmarkEnd w:id="80"/>
      <w:bookmarkEnd w:id="81"/>
    </w:p>
    <w:p w14:paraId="1F578E73" w14:textId="52DBFFC9" w:rsidR="009B79CC" w:rsidRPr="00B6497A" w:rsidRDefault="009B79CC" w:rsidP="6EFCE255"/>
    <w:p w14:paraId="3D0CE9E9" w14:textId="6EB9272F" w:rsidR="009B79CC" w:rsidRDefault="482C9DE8" w:rsidP="53766C39">
      <w:pPr>
        <w:pStyle w:val="Heading3"/>
        <w:rPr>
          <w:rFonts w:ascii="Calibri Light" w:hAnsi="Calibri Light"/>
          <w:b/>
          <w:bCs/>
          <w:color w:val="1F3763"/>
        </w:rPr>
      </w:pPr>
      <w:bookmarkStart w:id="82" w:name="_Toc86832905"/>
      <w:bookmarkStart w:id="83" w:name="_Toc87435073"/>
      <w:bookmarkStart w:id="84" w:name="_Toc87856814"/>
      <w:bookmarkStart w:id="85" w:name="_Toc94185423"/>
      <w:r w:rsidRPr="53766C39">
        <w:rPr>
          <w:b/>
          <w:bCs/>
        </w:rPr>
        <w:lastRenderedPageBreak/>
        <w:t>Background to this objective</w:t>
      </w:r>
      <w:bookmarkEnd w:id="82"/>
      <w:bookmarkEnd w:id="83"/>
      <w:bookmarkEnd w:id="84"/>
      <w:bookmarkEnd w:id="85"/>
    </w:p>
    <w:p w14:paraId="0CDA8CE6" w14:textId="7E9FD5CE" w:rsidR="3772953C" w:rsidRDefault="009070B4" w:rsidP="009070B4">
      <w:pPr>
        <w:spacing w:line="257" w:lineRule="auto"/>
        <w:jc w:val="both"/>
        <w:rPr>
          <w:rFonts w:ascii="Calibri" w:eastAsia="Calibri" w:hAnsi="Calibri" w:cs="Calibri"/>
          <w:color w:val="000000" w:themeColor="text1"/>
        </w:rPr>
      </w:pPr>
      <w:r w:rsidRPr="009070B4">
        <w:rPr>
          <w:rFonts w:eastAsiaTheme="minorEastAsia"/>
          <w:color w:val="000000" w:themeColor="text1"/>
        </w:rPr>
        <w:t>The NU Parenting and Childcare Review (2017) consulted with over 600 parents to fully understand the challenges facing parents studying and advancing their careers with us. From this, the University committed to an innovative and bold three-year University funded project, ‘For Families’, to make Newcastle University a leading family-friendly organisation, provide the best support to all members of our community with caring responsibilities, and enable them to reach their full potential as they work and study with us.</w:t>
      </w:r>
      <w:r w:rsidR="478F579E" w:rsidRPr="3C4DAE66">
        <w:rPr>
          <w:rFonts w:ascii="Calibri" w:eastAsia="Calibri" w:hAnsi="Calibri" w:cs="Calibri"/>
          <w:color w:val="000000" w:themeColor="text1"/>
        </w:rPr>
        <w:t xml:space="preserve"> </w:t>
      </w:r>
    </w:p>
    <w:p w14:paraId="23DC3F6E" w14:textId="6BC601D0" w:rsidR="009B79CC" w:rsidRPr="007271D8" w:rsidRDefault="009B79CC" w:rsidP="53766C39">
      <w:pPr>
        <w:pStyle w:val="Heading3"/>
        <w:rPr>
          <w:rFonts w:ascii="Calibri Light" w:hAnsi="Calibri Light"/>
          <w:b/>
          <w:bCs/>
          <w:i/>
          <w:iCs/>
          <w:color w:val="1F3763"/>
        </w:rPr>
      </w:pPr>
      <w:bookmarkStart w:id="86" w:name="_Toc86832906"/>
      <w:bookmarkStart w:id="87" w:name="_Toc87435074"/>
      <w:bookmarkStart w:id="88" w:name="_Toc87856815"/>
      <w:bookmarkStart w:id="89" w:name="_Toc94185424"/>
      <w:r w:rsidRPr="53766C39">
        <w:rPr>
          <w:b/>
          <w:bCs/>
        </w:rPr>
        <w:t>Highlights from our activity</w:t>
      </w:r>
      <w:r w:rsidR="0B9E6A92" w:rsidRPr="53766C39">
        <w:rPr>
          <w:b/>
          <w:bCs/>
        </w:rPr>
        <w:t xml:space="preserve"> 202</w:t>
      </w:r>
      <w:r w:rsidR="009070B4">
        <w:rPr>
          <w:b/>
          <w:bCs/>
        </w:rPr>
        <w:t>1</w:t>
      </w:r>
      <w:r w:rsidR="0B9E6A92" w:rsidRPr="53766C39">
        <w:rPr>
          <w:b/>
          <w:bCs/>
        </w:rPr>
        <w:t>-2</w:t>
      </w:r>
      <w:r w:rsidR="009070B4">
        <w:rPr>
          <w:b/>
          <w:bCs/>
        </w:rPr>
        <w:t>2</w:t>
      </w:r>
      <w:r w:rsidRPr="53766C39">
        <w:rPr>
          <w:b/>
          <w:bCs/>
        </w:rPr>
        <w:t>:</w:t>
      </w:r>
      <w:bookmarkEnd w:id="86"/>
      <w:bookmarkEnd w:id="87"/>
      <w:bookmarkEnd w:id="88"/>
      <w:bookmarkEnd w:id="89"/>
    </w:p>
    <w:p w14:paraId="431A581C" w14:textId="0CC1430E" w:rsidR="009070B4" w:rsidRDefault="009070B4" w:rsidP="00DC6B4B">
      <w:pPr>
        <w:pStyle w:val="ListParagraph"/>
        <w:numPr>
          <w:ilvl w:val="0"/>
          <w:numId w:val="32"/>
        </w:numPr>
      </w:pPr>
      <w:r>
        <w:t>Implementing the new Carers’ Policy, managers’ Guide and resources that recognise and provide support to carers at Newcastle University.</w:t>
      </w:r>
    </w:p>
    <w:p w14:paraId="64B2F0E7" w14:textId="54747527" w:rsidR="009070B4" w:rsidRDefault="009070B4" w:rsidP="00DC6B4B">
      <w:pPr>
        <w:pStyle w:val="ListParagraph"/>
        <w:numPr>
          <w:ilvl w:val="0"/>
          <w:numId w:val="32"/>
        </w:numPr>
      </w:pPr>
      <w:r>
        <w:t>Creating new University A-Z resources for parents seeking childcare and family support regionally and nationally.</w:t>
      </w:r>
    </w:p>
    <w:p w14:paraId="3FD0B9BD" w14:textId="4B8AAB9B" w:rsidR="009070B4" w:rsidRDefault="009070B4" w:rsidP="00DC6B4B">
      <w:pPr>
        <w:pStyle w:val="ListParagraph"/>
        <w:numPr>
          <w:ilvl w:val="0"/>
          <w:numId w:val="32"/>
        </w:numPr>
      </w:pPr>
      <w:r>
        <w:t>Developing a new group to provide a supportive community for parents of children with autism.</w:t>
      </w:r>
    </w:p>
    <w:p w14:paraId="5E169C07" w14:textId="77777777" w:rsidR="009070B4" w:rsidRPr="009070B4" w:rsidRDefault="009070B4" w:rsidP="00DC6B4B">
      <w:pPr>
        <w:pStyle w:val="ListParagraph"/>
        <w:numPr>
          <w:ilvl w:val="0"/>
          <w:numId w:val="32"/>
        </w:numPr>
        <w:rPr>
          <w:rFonts w:eastAsiaTheme="minorEastAsia"/>
        </w:rPr>
      </w:pPr>
      <w:r>
        <w:t>Two new dedicated Nursing Rooms provided on campus</w:t>
      </w:r>
      <w:r w:rsidR="3CB6E71F">
        <w:t>.</w:t>
      </w:r>
    </w:p>
    <w:p w14:paraId="1046A960" w14:textId="18769600" w:rsidR="009070B4" w:rsidRDefault="009070B4" w:rsidP="00DC6B4B">
      <w:pPr>
        <w:pStyle w:val="ListParagraph"/>
        <w:numPr>
          <w:ilvl w:val="0"/>
          <w:numId w:val="32"/>
        </w:numPr>
      </w:pPr>
      <w:r>
        <w:t>Providing training for managers and PS colleagues on supporting colleagues returning</w:t>
      </w:r>
      <w:r w:rsidR="00B62BC8">
        <w:t xml:space="preserve"> </w:t>
      </w:r>
      <w:r>
        <w:t>to work following a pregnancy or infant loss.</w:t>
      </w:r>
    </w:p>
    <w:p w14:paraId="01DC86AB" w14:textId="1734D185" w:rsidR="009070B4" w:rsidRDefault="009070B4" w:rsidP="00DC6B4B">
      <w:pPr>
        <w:pStyle w:val="ListParagraph"/>
        <w:numPr>
          <w:ilvl w:val="0"/>
          <w:numId w:val="32"/>
        </w:numPr>
      </w:pPr>
      <w:r>
        <w:t>Enhancing the support offered to colleagues having fertility treatment.</w:t>
      </w:r>
    </w:p>
    <w:p w14:paraId="6C47DCD7" w14:textId="776E0859" w:rsidR="7DB46EA7" w:rsidRDefault="009070B4" w:rsidP="00DC6B4B">
      <w:pPr>
        <w:pStyle w:val="ListParagraph"/>
        <w:numPr>
          <w:ilvl w:val="0"/>
          <w:numId w:val="32"/>
        </w:numPr>
        <w:rPr>
          <w:rFonts w:eastAsiaTheme="minorEastAsia"/>
        </w:rPr>
      </w:pPr>
      <w:r>
        <w:t>Providing a new Parental Leave Bursary for Postgraduate Research (PGR) students.</w:t>
      </w:r>
      <w:r w:rsidR="3CB6E71F">
        <w:t xml:space="preserve"> </w:t>
      </w:r>
    </w:p>
    <w:p w14:paraId="3C4A9079" w14:textId="0DE06165" w:rsidR="7EFFF724" w:rsidRDefault="7EFFF724" w:rsidP="53766C39">
      <w:pPr>
        <w:pStyle w:val="Heading3"/>
        <w:rPr>
          <w:rFonts w:ascii="Calibri Light" w:hAnsi="Calibri Light"/>
          <w:b/>
          <w:bCs/>
          <w:i/>
          <w:iCs/>
          <w:color w:val="1F3763"/>
        </w:rPr>
      </w:pPr>
      <w:bookmarkStart w:id="90" w:name="_Toc86832907"/>
      <w:bookmarkStart w:id="91" w:name="_Toc87435075"/>
      <w:bookmarkStart w:id="92" w:name="_Toc87856816"/>
      <w:bookmarkStart w:id="93" w:name="_Toc94185425"/>
      <w:r w:rsidRPr="53766C39">
        <w:rPr>
          <w:b/>
          <w:bCs/>
        </w:rPr>
        <w:t>Priorities for 202</w:t>
      </w:r>
      <w:r w:rsidR="00581040">
        <w:rPr>
          <w:b/>
          <w:bCs/>
        </w:rPr>
        <w:t>2</w:t>
      </w:r>
      <w:r w:rsidRPr="53766C39">
        <w:rPr>
          <w:b/>
          <w:bCs/>
        </w:rPr>
        <w:t>-2</w:t>
      </w:r>
      <w:r w:rsidR="00581040">
        <w:rPr>
          <w:b/>
          <w:bCs/>
        </w:rPr>
        <w:t>3</w:t>
      </w:r>
      <w:r w:rsidRPr="53766C39">
        <w:rPr>
          <w:b/>
          <w:bCs/>
        </w:rPr>
        <w:t>:</w:t>
      </w:r>
      <w:bookmarkEnd w:id="90"/>
      <w:bookmarkEnd w:id="91"/>
      <w:bookmarkEnd w:id="92"/>
      <w:bookmarkEnd w:id="93"/>
    </w:p>
    <w:p w14:paraId="1AEA5FCE" w14:textId="3A33616A" w:rsidR="00581040" w:rsidRPr="00581040" w:rsidRDefault="00581040" w:rsidP="00DC6B4B">
      <w:pPr>
        <w:pStyle w:val="ListParagraph"/>
        <w:numPr>
          <w:ilvl w:val="0"/>
          <w:numId w:val="33"/>
        </w:numPr>
        <w:rPr>
          <w:rFonts w:eastAsiaTheme="minorEastAsia"/>
          <w:color w:val="000000" w:themeColor="text1"/>
        </w:rPr>
      </w:pPr>
      <w:r w:rsidRPr="00581040">
        <w:rPr>
          <w:rFonts w:eastAsiaTheme="minorEastAsia"/>
          <w:color w:val="000000" w:themeColor="text1"/>
        </w:rPr>
        <w:t>Reviewing the Returners Support Programme and use the findings to implement improvements.</w:t>
      </w:r>
    </w:p>
    <w:p w14:paraId="484CC998" w14:textId="6278B68F" w:rsidR="54C1365E" w:rsidRPr="00581040" w:rsidRDefault="00581040" w:rsidP="00DC6B4B">
      <w:pPr>
        <w:pStyle w:val="ListParagraph"/>
        <w:numPr>
          <w:ilvl w:val="0"/>
          <w:numId w:val="33"/>
        </w:numPr>
        <w:rPr>
          <w:rFonts w:eastAsiaTheme="minorEastAsia"/>
          <w:i/>
          <w:iCs/>
          <w:color w:val="000000" w:themeColor="text1"/>
        </w:rPr>
      </w:pPr>
      <w:r w:rsidRPr="00581040">
        <w:rPr>
          <w:rFonts w:eastAsiaTheme="minorEastAsia"/>
          <w:color w:val="000000" w:themeColor="text1"/>
        </w:rPr>
        <w:t>Delivering a series of listening sessions to further explore opportunities for enhancement, including on parent’s wellbeing and supporting PGR parents.</w:t>
      </w:r>
    </w:p>
    <w:p w14:paraId="48AF2CA3" w14:textId="77777777" w:rsidR="00581040" w:rsidRPr="007271D8" w:rsidRDefault="00581040" w:rsidP="007271D8">
      <w:pPr>
        <w:pStyle w:val="NoSpacing"/>
        <w:rPr>
          <w:b/>
          <w:bCs/>
        </w:rPr>
      </w:pPr>
    </w:p>
    <w:p w14:paraId="7AB2543E" w14:textId="674A2765" w:rsidR="007271D8" w:rsidRDefault="007271D8" w:rsidP="00DC6B4B">
      <w:pPr>
        <w:pStyle w:val="Heading2"/>
        <w:numPr>
          <w:ilvl w:val="0"/>
          <w:numId w:val="2"/>
        </w:numPr>
        <w:rPr>
          <w:b/>
          <w:bCs/>
        </w:rPr>
      </w:pPr>
      <w:bookmarkStart w:id="94" w:name="_Toc86832908"/>
      <w:bookmarkStart w:id="95" w:name="_Toc94185426"/>
      <w:r w:rsidRPr="53766C39">
        <w:rPr>
          <w:b/>
          <w:bCs/>
        </w:rPr>
        <w:t>Ensure all new and reviewed policies take into consideration EDI</w:t>
      </w:r>
      <w:bookmarkEnd w:id="94"/>
      <w:bookmarkEnd w:id="95"/>
    </w:p>
    <w:p w14:paraId="7E161A64" w14:textId="30FF6B76" w:rsidR="007271D8" w:rsidRDefault="007271D8" w:rsidP="007271D8">
      <w:pPr>
        <w:pStyle w:val="NoSpacing"/>
        <w:rPr>
          <w:b/>
          <w:bCs/>
        </w:rPr>
      </w:pPr>
    </w:p>
    <w:p w14:paraId="45E1CA96" w14:textId="1434FA17" w:rsidR="007271D8" w:rsidRPr="009D4E84" w:rsidRDefault="20AE94C9" w:rsidP="53766C39">
      <w:pPr>
        <w:pStyle w:val="Heading3"/>
        <w:rPr>
          <w:rFonts w:ascii="Calibri Light" w:hAnsi="Calibri Light"/>
          <w:b/>
          <w:bCs/>
          <w:color w:val="1F3763"/>
        </w:rPr>
      </w:pPr>
      <w:bookmarkStart w:id="96" w:name="_Toc86832909"/>
      <w:bookmarkStart w:id="97" w:name="_Toc87435077"/>
      <w:bookmarkStart w:id="98" w:name="_Toc87856818"/>
      <w:bookmarkStart w:id="99" w:name="_Toc94185427"/>
      <w:r w:rsidRPr="53766C39">
        <w:rPr>
          <w:b/>
          <w:bCs/>
        </w:rPr>
        <w:t>Background to this objective</w:t>
      </w:r>
      <w:bookmarkEnd w:id="96"/>
      <w:bookmarkEnd w:id="97"/>
      <w:bookmarkEnd w:id="98"/>
      <w:bookmarkEnd w:id="99"/>
    </w:p>
    <w:p w14:paraId="51CA4E88" w14:textId="2109BA8E" w:rsidR="007271D8" w:rsidRPr="009D4E84" w:rsidRDefault="000D7275" w:rsidP="6EFCE255">
      <w:pPr>
        <w:pStyle w:val="NoSpacing"/>
        <w:rPr>
          <w:rFonts w:eastAsia="Calibri"/>
        </w:rPr>
      </w:pPr>
      <w:r w:rsidRPr="000D7275">
        <w:t>Continuing to ensure our policies, key planning and organisational change processes do not negatively impact on students or colleagues who share a protected characteristic and that they support us to advance equality of opportunity and foster good relations is an important part of our responsibilities under the PSED. This is also fundamental to us delivering on our vision to be a fully inclusive University.</w:t>
      </w:r>
      <w:r w:rsidR="4EC777B7">
        <w:t xml:space="preserve"> </w:t>
      </w:r>
    </w:p>
    <w:p w14:paraId="151A8B86" w14:textId="366747E8" w:rsidR="009B79CC" w:rsidRPr="00B6497A" w:rsidRDefault="009B79CC" w:rsidP="009B79CC">
      <w:pPr>
        <w:pStyle w:val="NoSpacing"/>
      </w:pPr>
    </w:p>
    <w:p w14:paraId="5ED5CD2A" w14:textId="53BE1D64" w:rsidR="009B79CC" w:rsidRPr="007271D8" w:rsidRDefault="009B79CC" w:rsidP="53766C39">
      <w:pPr>
        <w:pStyle w:val="Heading3"/>
        <w:rPr>
          <w:rFonts w:ascii="Calibri Light" w:hAnsi="Calibri Light"/>
          <w:b/>
          <w:bCs/>
          <w:i/>
          <w:iCs/>
          <w:color w:val="1F3763"/>
        </w:rPr>
      </w:pPr>
      <w:bookmarkStart w:id="100" w:name="_Toc86832910"/>
      <w:bookmarkStart w:id="101" w:name="_Toc87435078"/>
      <w:bookmarkStart w:id="102" w:name="_Toc87856819"/>
      <w:bookmarkStart w:id="103" w:name="_Toc94185428"/>
      <w:r w:rsidRPr="53766C39">
        <w:rPr>
          <w:b/>
          <w:bCs/>
        </w:rPr>
        <w:t>Highlights from our activity</w:t>
      </w:r>
      <w:r w:rsidR="6B14F19C" w:rsidRPr="53766C39">
        <w:rPr>
          <w:b/>
          <w:bCs/>
        </w:rPr>
        <w:t xml:space="preserve"> 202</w:t>
      </w:r>
      <w:r w:rsidR="000D7275">
        <w:rPr>
          <w:b/>
          <w:bCs/>
        </w:rPr>
        <w:t>1</w:t>
      </w:r>
      <w:r w:rsidR="6B14F19C" w:rsidRPr="53766C39">
        <w:rPr>
          <w:b/>
          <w:bCs/>
        </w:rPr>
        <w:t>-2</w:t>
      </w:r>
      <w:r w:rsidR="000D7275">
        <w:rPr>
          <w:b/>
          <w:bCs/>
        </w:rPr>
        <w:t>2</w:t>
      </w:r>
      <w:r w:rsidR="6B14F19C" w:rsidRPr="53766C39">
        <w:rPr>
          <w:b/>
          <w:bCs/>
        </w:rPr>
        <w:t>:</w:t>
      </w:r>
      <w:bookmarkEnd w:id="100"/>
      <w:bookmarkEnd w:id="101"/>
      <w:bookmarkEnd w:id="102"/>
      <w:bookmarkEnd w:id="103"/>
    </w:p>
    <w:p w14:paraId="6169757E" w14:textId="48155D70" w:rsidR="000D7275" w:rsidRDefault="000D7275" w:rsidP="00DC6B4B">
      <w:pPr>
        <w:pStyle w:val="ListParagraph"/>
        <w:numPr>
          <w:ilvl w:val="0"/>
          <w:numId w:val="34"/>
        </w:numPr>
      </w:pPr>
      <w:r>
        <w:t>Undertaking engagement and consultation activities with University stakeholders on the revised Equality Analysis (EA) process and guidance. This included the refinement of new tools and also strategies for colleagues to embed EA through management practices, leadership and advocacy.</w:t>
      </w:r>
    </w:p>
    <w:p w14:paraId="713E3DAE" w14:textId="77777777" w:rsidR="000D7275" w:rsidRDefault="000D7275" w:rsidP="00DC6B4B">
      <w:pPr>
        <w:pStyle w:val="ListParagraph"/>
        <w:numPr>
          <w:ilvl w:val="0"/>
          <w:numId w:val="34"/>
        </w:numPr>
      </w:pPr>
      <w:r>
        <w:t>Creating new briefing and training resources to accompany the EA process and guidance, for key stakeholders and ‘Step by Step’ practical training for all colleagues to access.</w:t>
      </w:r>
    </w:p>
    <w:p w14:paraId="15CDA7A2" w14:textId="07A0A5EA" w:rsidR="000D7275" w:rsidRDefault="000D7275" w:rsidP="00DC6B4B">
      <w:pPr>
        <w:pStyle w:val="ListParagraph"/>
        <w:numPr>
          <w:ilvl w:val="0"/>
          <w:numId w:val="34"/>
        </w:numPr>
      </w:pPr>
      <w:r>
        <w:t>Developing new Action Learning Sets (ALS) to enhance colleague’s knowledge and understanding of the EA process and provide the opportunity for them to support each other to problem solve, build on ideas, share feedback and learn in a collegiate environment.</w:t>
      </w:r>
    </w:p>
    <w:p w14:paraId="1921F41D" w14:textId="79BA47EB" w:rsidR="72D989A4" w:rsidRDefault="000D7275" w:rsidP="00DC6B4B">
      <w:pPr>
        <w:pStyle w:val="ListParagraph"/>
        <w:numPr>
          <w:ilvl w:val="0"/>
          <w:numId w:val="34"/>
        </w:numPr>
      </w:pPr>
      <w:r>
        <w:lastRenderedPageBreak/>
        <w:t>Developing a bank of completed EAs for colleagues to use as examples when undertaking future EA.</w:t>
      </w:r>
      <w:r w:rsidR="72D989A4">
        <w:t xml:space="preserve"> </w:t>
      </w:r>
    </w:p>
    <w:p w14:paraId="40BED205" w14:textId="371FA60A" w:rsidR="6BFBB786" w:rsidRDefault="6BFBB786" w:rsidP="53766C39">
      <w:pPr>
        <w:pStyle w:val="Heading3"/>
        <w:rPr>
          <w:rFonts w:ascii="Calibri Light" w:hAnsi="Calibri Light"/>
          <w:b/>
          <w:bCs/>
          <w:i/>
          <w:iCs/>
          <w:color w:val="1F3763"/>
        </w:rPr>
      </w:pPr>
      <w:bookmarkStart w:id="104" w:name="_Toc86832911"/>
      <w:bookmarkStart w:id="105" w:name="_Toc87435079"/>
      <w:bookmarkStart w:id="106" w:name="_Toc87856820"/>
      <w:bookmarkStart w:id="107" w:name="_Toc94185429"/>
      <w:r w:rsidRPr="53766C39">
        <w:rPr>
          <w:b/>
          <w:bCs/>
        </w:rPr>
        <w:t>Priorities for 202</w:t>
      </w:r>
      <w:r w:rsidR="00801889">
        <w:rPr>
          <w:b/>
          <w:bCs/>
        </w:rPr>
        <w:t>2</w:t>
      </w:r>
      <w:r w:rsidRPr="53766C39">
        <w:rPr>
          <w:b/>
          <w:bCs/>
        </w:rPr>
        <w:t>-2</w:t>
      </w:r>
      <w:r w:rsidR="00801889">
        <w:rPr>
          <w:b/>
          <w:bCs/>
        </w:rPr>
        <w:t>3</w:t>
      </w:r>
      <w:r w:rsidRPr="53766C39">
        <w:rPr>
          <w:b/>
          <w:bCs/>
        </w:rPr>
        <w:t>:</w:t>
      </w:r>
      <w:bookmarkEnd w:id="104"/>
      <w:bookmarkEnd w:id="105"/>
      <w:bookmarkEnd w:id="106"/>
      <w:bookmarkEnd w:id="107"/>
    </w:p>
    <w:p w14:paraId="6A563B1B" w14:textId="1BAC3353" w:rsidR="000D7275" w:rsidRDefault="000D7275" w:rsidP="00DC6B4B">
      <w:pPr>
        <w:pStyle w:val="ListParagraph"/>
        <w:numPr>
          <w:ilvl w:val="0"/>
          <w:numId w:val="35"/>
        </w:numPr>
      </w:pPr>
      <w:r>
        <w:t>Providing training to key stakeholders and supporting them to further embed EA through management practices, leadership and advocacy.</w:t>
      </w:r>
    </w:p>
    <w:p w14:paraId="09266C7A" w14:textId="58AD5A27" w:rsidR="000D7275" w:rsidRDefault="000D7275" w:rsidP="00DC6B4B">
      <w:pPr>
        <w:pStyle w:val="ListParagraph"/>
        <w:numPr>
          <w:ilvl w:val="0"/>
          <w:numId w:val="35"/>
        </w:numPr>
      </w:pPr>
      <w:r>
        <w:t>Growing the bank of completed EAs for colleagues to access as examples.</w:t>
      </w:r>
    </w:p>
    <w:p w14:paraId="78BE5543" w14:textId="70A80096" w:rsidR="000D7275" w:rsidRDefault="000D7275" w:rsidP="00DC6B4B">
      <w:pPr>
        <w:pStyle w:val="ListParagraph"/>
        <w:numPr>
          <w:ilvl w:val="0"/>
          <w:numId w:val="35"/>
        </w:numPr>
      </w:pPr>
      <w:r>
        <w:t>Review colleague feedback about ALS model, new resources and data needs for different types of EA.</w:t>
      </w:r>
    </w:p>
    <w:p w14:paraId="782B700D" w14:textId="77777777" w:rsidR="00B6497A" w:rsidRDefault="00B6497A" w:rsidP="00B6497A"/>
    <w:p w14:paraId="4B32BFC2" w14:textId="2D903AFB" w:rsidR="007271D8" w:rsidRDefault="007271D8" w:rsidP="00DC6B4B">
      <w:pPr>
        <w:pStyle w:val="Heading2"/>
        <w:numPr>
          <w:ilvl w:val="0"/>
          <w:numId w:val="2"/>
        </w:numPr>
        <w:rPr>
          <w:b/>
          <w:bCs/>
        </w:rPr>
      </w:pPr>
      <w:bookmarkStart w:id="108" w:name="_Toc86832912"/>
      <w:bookmarkStart w:id="109" w:name="_Toc94185430"/>
      <w:r w:rsidRPr="53766C39">
        <w:rPr>
          <w:b/>
          <w:bCs/>
        </w:rPr>
        <w:t>Improve our EDI evidence base by enhancing systems and processes relating to EDI data capture, analysis, and reporting</w:t>
      </w:r>
      <w:bookmarkEnd w:id="108"/>
      <w:bookmarkEnd w:id="109"/>
    </w:p>
    <w:p w14:paraId="237CEBEE" w14:textId="0A73CC86" w:rsidR="002821DB" w:rsidRDefault="002821DB" w:rsidP="002821DB">
      <w:pPr>
        <w:pStyle w:val="NoSpacing"/>
        <w:rPr>
          <w:b/>
          <w:bCs/>
        </w:rPr>
      </w:pPr>
    </w:p>
    <w:p w14:paraId="1CD96FE7" w14:textId="0E0B72FE" w:rsidR="396B7E01" w:rsidRDefault="7E9239BD" w:rsidP="53766C39">
      <w:pPr>
        <w:pStyle w:val="Heading3"/>
        <w:rPr>
          <w:rFonts w:ascii="Calibri Light" w:hAnsi="Calibri Light"/>
          <w:b/>
          <w:bCs/>
          <w:color w:val="1F3763"/>
        </w:rPr>
      </w:pPr>
      <w:bookmarkStart w:id="110" w:name="_Toc86832913"/>
      <w:bookmarkStart w:id="111" w:name="_Toc87435081"/>
      <w:bookmarkStart w:id="112" w:name="_Toc87856822"/>
      <w:bookmarkStart w:id="113" w:name="_Toc94185431"/>
      <w:r w:rsidRPr="53766C39">
        <w:rPr>
          <w:b/>
          <w:bCs/>
        </w:rPr>
        <w:t>Background to this objective</w:t>
      </w:r>
      <w:bookmarkEnd w:id="110"/>
      <w:bookmarkEnd w:id="111"/>
      <w:bookmarkEnd w:id="112"/>
      <w:bookmarkEnd w:id="113"/>
    </w:p>
    <w:p w14:paraId="2797ADCA" w14:textId="4E68B618" w:rsidR="00801889" w:rsidRDefault="00801889" w:rsidP="0050175A">
      <w:bookmarkStart w:id="114" w:name="_Toc86832914"/>
      <w:bookmarkStart w:id="115" w:name="_Toc87435082"/>
      <w:bookmarkStart w:id="116" w:name="_Toc87856823"/>
      <w:bookmarkStart w:id="117" w:name="_Toc94185432"/>
      <w:r w:rsidRPr="00801889">
        <w:t>The University is committed to identifying and understanding any barriers that hinder the advancement and development of any colleague or student and our evidence base is key to enabling this. We currently collect data on protected characteristics from our colleagues and students and use this to inform many processes and initiatives (e.g., APP, Athena Swan and REC), yet we aspire to continually improve this to further advance our understanding and ability to develop evidence-based activity.</w:t>
      </w:r>
    </w:p>
    <w:p w14:paraId="221E956F" w14:textId="77777777" w:rsidR="0050175A" w:rsidRDefault="0050175A" w:rsidP="0050175A"/>
    <w:p w14:paraId="44C2DCC1" w14:textId="3855FEE9" w:rsidR="6EFCE255" w:rsidRPr="00BE4FDF" w:rsidRDefault="002821DB" w:rsidP="00801889">
      <w:pPr>
        <w:pStyle w:val="Heading3"/>
        <w:rPr>
          <w:rFonts w:ascii="Calibri Light" w:hAnsi="Calibri Light"/>
          <w:b/>
          <w:bCs/>
          <w:i/>
          <w:iCs/>
          <w:color w:val="1F3763"/>
        </w:rPr>
      </w:pPr>
      <w:r w:rsidRPr="0EE17C8D">
        <w:rPr>
          <w:b/>
          <w:bCs/>
        </w:rPr>
        <w:t>Highlights from our activity</w:t>
      </w:r>
      <w:r w:rsidR="5EA0EDB1" w:rsidRPr="0EE17C8D">
        <w:rPr>
          <w:b/>
          <w:bCs/>
        </w:rPr>
        <w:t xml:space="preserve"> 202</w:t>
      </w:r>
      <w:r w:rsidR="00801889">
        <w:rPr>
          <w:b/>
          <w:bCs/>
        </w:rPr>
        <w:t>1</w:t>
      </w:r>
      <w:r w:rsidR="5EA0EDB1" w:rsidRPr="0EE17C8D">
        <w:rPr>
          <w:b/>
          <w:bCs/>
        </w:rPr>
        <w:t>-2</w:t>
      </w:r>
      <w:r w:rsidR="00801889">
        <w:rPr>
          <w:b/>
          <w:bCs/>
        </w:rPr>
        <w:t>2</w:t>
      </w:r>
      <w:r w:rsidRPr="0EE17C8D">
        <w:rPr>
          <w:b/>
          <w:bCs/>
        </w:rPr>
        <w:t>:</w:t>
      </w:r>
      <w:bookmarkEnd w:id="114"/>
      <w:bookmarkEnd w:id="115"/>
      <w:bookmarkEnd w:id="116"/>
      <w:bookmarkEnd w:id="117"/>
    </w:p>
    <w:p w14:paraId="5A867F86" w14:textId="594C9377" w:rsidR="00801889" w:rsidRDefault="00801889" w:rsidP="00DC6B4B">
      <w:pPr>
        <w:pStyle w:val="ListParagraph"/>
        <w:numPr>
          <w:ilvl w:val="0"/>
          <w:numId w:val="36"/>
        </w:numPr>
      </w:pPr>
      <w:r>
        <w:t>We are currently completing the workbooks for the new data system and reframing how we capture some of the EDI data to ensure questions about EDI are posed in the most appropriate way and response options meet current guidance and recommendations.</w:t>
      </w:r>
    </w:p>
    <w:p w14:paraId="717327A2" w14:textId="27E3C9F9" w:rsidR="718CE845" w:rsidRPr="00801889" w:rsidRDefault="00801889" w:rsidP="00DC6B4B">
      <w:pPr>
        <w:pStyle w:val="ListParagraph"/>
        <w:numPr>
          <w:ilvl w:val="0"/>
          <w:numId w:val="36"/>
        </w:numPr>
        <w:rPr>
          <w:rFonts w:eastAsiaTheme="minorEastAsia"/>
        </w:rPr>
      </w:pPr>
      <w:r>
        <w:t>Launched a campaign to promote sharing of diversity data by colleagues.</w:t>
      </w:r>
      <w:r w:rsidR="7B2467CF">
        <w:t xml:space="preserve"> </w:t>
      </w:r>
    </w:p>
    <w:p w14:paraId="3B1B7529" w14:textId="02CEC461" w:rsidR="00801889" w:rsidRDefault="00801889" w:rsidP="00DC6B4B">
      <w:pPr>
        <w:pStyle w:val="ListParagraph"/>
        <w:numPr>
          <w:ilvl w:val="0"/>
          <w:numId w:val="36"/>
        </w:numPr>
      </w:pPr>
      <w:r>
        <w:t>Improved the diversity data categories in new postgraduate student admissions system.</w:t>
      </w:r>
    </w:p>
    <w:p w14:paraId="276A77A5" w14:textId="13660C29" w:rsidR="00801889" w:rsidRDefault="00801889" w:rsidP="00DC6B4B">
      <w:pPr>
        <w:pStyle w:val="ListParagraph"/>
        <w:numPr>
          <w:ilvl w:val="0"/>
          <w:numId w:val="36"/>
        </w:numPr>
      </w:pPr>
      <w:r>
        <w:t>Launched an annual exercise to capture diversity data for members of Council.</w:t>
      </w:r>
    </w:p>
    <w:p w14:paraId="435196FA" w14:textId="1FF689E9" w:rsidR="09C01FD0" w:rsidRDefault="00801889" w:rsidP="00DC6B4B">
      <w:pPr>
        <w:pStyle w:val="ListParagraph"/>
        <w:numPr>
          <w:ilvl w:val="0"/>
          <w:numId w:val="36"/>
        </w:numPr>
      </w:pPr>
      <w:r>
        <w:t xml:space="preserve">Enhanced data capture </w:t>
      </w:r>
      <w:r w:rsidRPr="00801889">
        <w:t>categories around disabilities.</w:t>
      </w:r>
    </w:p>
    <w:p w14:paraId="50157C25" w14:textId="7BA68153" w:rsidR="00801889" w:rsidRDefault="00801889" w:rsidP="00DC6B4B">
      <w:pPr>
        <w:pStyle w:val="ListParagraph"/>
        <w:numPr>
          <w:ilvl w:val="0"/>
          <w:numId w:val="36"/>
        </w:numPr>
      </w:pPr>
      <w:r w:rsidRPr="00801889">
        <w:t>Carried out first phase development of a Power BI research grant dashboard, which allows for analysing data by protected characteristic</w:t>
      </w:r>
      <w:r>
        <w:t>.</w:t>
      </w:r>
    </w:p>
    <w:p w14:paraId="5966E0B9" w14:textId="4A5EB596" w:rsidR="0A10C4E1" w:rsidRDefault="0A10C4E1" w:rsidP="53766C39">
      <w:pPr>
        <w:pStyle w:val="Heading3"/>
        <w:rPr>
          <w:rFonts w:ascii="Calibri Light" w:hAnsi="Calibri Light"/>
          <w:b/>
          <w:bCs/>
          <w:i/>
          <w:iCs/>
          <w:color w:val="1F3763"/>
        </w:rPr>
      </w:pPr>
      <w:bookmarkStart w:id="118" w:name="_Toc86832915"/>
      <w:bookmarkStart w:id="119" w:name="_Toc87435083"/>
      <w:bookmarkStart w:id="120" w:name="_Toc87856824"/>
      <w:bookmarkStart w:id="121" w:name="_Toc94185433"/>
      <w:r w:rsidRPr="53766C39">
        <w:rPr>
          <w:b/>
          <w:bCs/>
        </w:rPr>
        <w:t>Priorities for 202</w:t>
      </w:r>
      <w:r w:rsidR="00F323B5">
        <w:rPr>
          <w:b/>
          <w:bCs/>
        </w:rPr>
        <w:t>2</w:t>
      </w:r>
      <w:r w:rsidRPr="53766C39">
        <w:rPr>
          <w:b/>
          <w:bCs/>
        </w:rPr>
        <w:t>-2</w:t>
      </w:r>
      <w:r w:rsidR="00F323B5">
        <w:rPr>
          <w:b/>
          <w:bCs/>
        </w:rPr>
        <w:t>3</w:t>
      </w:r>
      <w:r w:rsidRPr="53766C39">
        <w:rPr>
          <w:b/>
          <w:bCs/>
        </w:rPr>
        <w:t>:</w:t>
      </w:r>
      <w:bookmarkEnd w:id="118"/>
      <w:bookmarkEnd w:id="119"/>
      <w:bookmarkEnd w:id="120"/>
      <w:bookmarkEnd w:id="121"/>
    </w:p>
    <w:p w14:paraId="7A5B5C44" w14:textId="49B9EB02" w:rsidR="00801889" w:rsidRDefault="00801889" w:rsidP="00DC6B4B">
      <w:pPr>
        <w:pStyle w:val="ListParagraph"/>
        <w:numPr>
          <w:ilvl w:val="0"/>
          <w:numId w:val="37"/>
        </w:numPr>
      </w:pPr>
      <w:r>
        <w:t>Engagement with our University community to finalise the identification of enhanced EDI categories for the new People Services data systems.</w:t>
      </w:r>
    </w:p>
    <w:p w14:paraId="1DEF8B13" w14:textId="290ED44F" w:rsidR="00801889" w:rsidRDefault="00801889" w:rsidP="00DC6B4B">
      <w:pPr>
        <w:pStyle w:val="ListParagraph"/>
        <w:numPr>
          <w:ilvl w:val="0"/>
          <w:numId w:val="37"/>
        </w:numPr>
      </w:pPr>
      <w:r>
        <w:t>Ensure alignment of internal diversity data capture with external reporting requirements (e.g., HMRC, HESA).</w:t>
      </w:r>
    </w:p>
    <w:p w14:paraId="2EFC65C4" w14:textId="6E776C4C" w:rsidR="00801889" w:rsidRDefault="00801889" w:rsidP="00DC6B4B">
      <w:pPr>
        <w:pStyle w:val="ListParagraph"/>
        <w:numPr>
          <w:ilvl w:val="0"/>
          <w:numId w:val="37"/>
        </w:numPr>
      </w:pPr>
      <w:r>
        <w:t>Develop further campaigns to enhance diversity data (colleagues and students).</w:t>
      </w:r>
    </w:p>
    <w:p w14:paraId="50A93B6C" w14:textId="223E226E" w:rsidR="00801889" w:rsidRDefault="00801889" w:rsidP="00DC6B4B">
      <w:pPr>
        <w:pStyle w:val="ListParagraph"/>
        <w:numPr>
          <w:ilvl w:val="0"/>
          <w:numId w:val="37"/>
        </w:numPr>
      </w:pPr>
      <w:r>
        <w:t>Further enhance our people data systems to add a question on gender (the system currently only collects data on sex). We also plan to improve disability categories, add more options to the sexual orientation question, and add a new question about being an unpaid career or parent.</w:t>
      </w:r>
    </w:p>
    <w:p w14:paraId="190C1EDE" w14:textId="00C54D1B" w:rsidR="00F323B5" w:rsidRDefault="00801889" w:rsidP="00DC6B4B">
      <w:pPr>
        <w:pStyle w:val="ListParagraph"/>
        <w:numPr>
          <w:ilvl w:val="0"/>
          <w:numId w:val="37"/>
        </w:numPr>
      </w:pPr>
      <w:r>
        <w:t>Develop a new and robust People Dashboard for workforce planning in Power BI, to include colleague diversity data.</w:t>
      </w:r>
    </w:p>
    <w:p w14:paraId="2C2BBA9C" w14:textId="77777777" w:rsidR="0050175A" w:rsidRDefault="0050175A" w:rsidP="0050175A"/>
    <w:p w14:paraId="2110E7BF" w14:textId="4EFF7A62" w:rsidR="53766C39" w:rsidRDefault="002821DB" w:rsidP="0EE17C8D">
      <w:pPr>
        <w:pStyle w:val="Heading2"/>
        <w:rPr>
          <w:b/>
          <w:bCs/>
        </w:rPr>
      </w:pPr>
      <w:bookmarkStart w:id="122" w:name="_Toc86832916"/>
      <w:bookmarkStart w:id="123" w:name="_Toc94185434"/>
      <w:r w:rsidRPr="0EE17C8D">
        <w:rPr>
          <w:b/>
          <w:bCs/>
        </w:rPr>
        <w:t>Faculty highlights</w:t>
      </w:r>
      <w:bookmarkEnd w:id="122"/>
      <w:bookmarkEnd w:id="123"/>
    </w:p>
    <w:p w14:paraId="419CE8A9" w14:textId="012EAE4C" w:rsidR="000E17CE" w:rsidRPr="00C26F04" w:rsidRDefault="00F323B5" w:rsidP="51B200B7">
      <w:r w:rsidRPr="00F323B5">
        <w:t>As part of the University EDI Team, our three faculties have dedicated EDI Directors and Advisors and develop and deliver faculty-wide and school or unit-level EDI activity for their students and colleagues, as well as supporting and enabling University-wide EDI initiatives.</w:t>
      </w:r>
      <w:r w:rsidR="005339F9">
        <w:t xml:space="preserve"> </w:t>
      </w:r>
    </w:p>
    <w:p w14:paraId="6459D0F3" w14:textId="1C5BA02B" w:rsidR="439FD598" w:rsidRDefault="692AF1DE" w:rsidP="53766C39">
      <w:pPr>
        <w:pStyle w:val="Heading3"/>
        <w:rPr>
          <w:b/>
          <w:bCs/>
        </w:rPr>
      </w:pPr>
      <w:bookmarkStart w:id="124" w:name="_Toc94185435"/>
      <w:bookmarkStart w:id="125" w:name="_Toc86832917"/>
      <w:bookmarkStart w:id="126" w:name="_Toc87435085"/>
      <w:bookmarkStart w:id="127" w:name="_Toc87856826"/>
      <w:r w:rsidRPr="3C4DAE66">
        <w:rPr>
          <w:b/>
          <w:bCs/>
        </w:rPr>
        <w:t>Faculty of Humanities and Social Sciences</w:t>
      </w:r>
      <w:bookmarkEnd w:id="124"/>
      <w:r w:rsidRPr="3C4DAE66">
        <w:rPr>
          <w:b/>
          <w:bCs/>
        </w:rPr>
        <w:t xml:space="preserve"> </w:t>
      </w:r>
      <w:bookmarkEnd w:id="125"/>
      <w:bookmarkEnd w:id="126"/>
      <w:bookmarkEnd w:id="127"/>
    </w:p>
    <w:p w14:paraId="42372FCA" w14:textId="1C5844E5" w:rsidR="00317764" w:rsidRDefault="00F323B5" w:rsidP="00317764">
      <w:pPr>
        <w:rPr>
          <w:rFonts w:ascii="Calibri" w:eastAsia="Calibri" w:hAnsi="Calibri" w:cs="Calibri"/>
        </w:rPr>
      </w:pPr>
      <w:r w:rsidRPr="00F323B5">
        <w:rPr>
          <w:rFonts w:ascii="Calibri" w:eastAsia="Calibri" w:hAnsi="Calibri" w:cs="Calibri"/>
        </w:rPr>
        <w:t>This year has seen continuing attention by HaSS Schools to extending student engagement in EDI work. Examples include:</w:t>
      </w:r>
      <w:r w:rsidR="00317764" w:rsidRPr="0EE17C8D">
        <w:rPr>
          <w:rFonts w:ascii="Calibri" w:eastAsia="Calibri" w:hAnsi="Calibri" w:cs="Calibri"/>
        </w:rPr>
        <w:t xml:space="preserve"> </w:t>
      </w:r>
    </w:p>
    <w:p w14:paraId="72A99453" w14:textId="128B57DF" w:rsidR="00F323B5" w:rsidRPr="00F323B5" w:rsidRDefault="00F323B5" w:rsidP="00DC6B4B">
      <w:pPr>
        <w:pStyle w:val="ListParagraph"/>
        <w:numPr>
          <w:ilvl w:val="0"/>
          <w:numId w:val="38"/>
        </w:numPr>
        <w:rPr>
          <w:rFonts w:ascii="Calibri" w:eastAsia="Calibri" w:hAnsi="Calibri" w:cs="Calibri"/>
        </w:rPr>
      </w:pPr>
      <w:r w:rsidRPr="00F323B5">
        <w:rPr>
          <w:rFonts w:ascii="Calibri" w:eastAsia="Calibri" w:hAnsi="Calibri" w:cs="Calibri"/>
        </w:rPr>
        <w:t>School of Architecture, Planning and Landscape (APL) provided an enhanced EDI Induction lecture September 2022: a webinar attended by over 250 colleagues and students.</w:t>
      </w:r>
    </w:p>
    <w:p w14:paraId="6EAC1C3A" w14:textId="2C07D5CC" w:rsidR="00F323B5" w:rsidRPr="00F323B5" w:rsidRDefault="00F323B5" w:rsidP="00DC6B4B">
      <w:pPr>
        <w:pStyle w:val="ListParagraph"/>
        <w:numPr>
          <w:ilvl w:val="0"/>
          <w:numId w:val="38"/>
        </w:numPr>
        <w:rPr>
          <w:rFonts w:ascii="Calibri" w:eastAsia="Calibri" w:hAnsi="Calibri" w:cs="Calibri"/>
        </w:rPr>
      </w:pPr>
      <w:r w:rsidRPr="00F323B5">
        <w:rPr>
          <w:rFonts w:ascii="Calibri" w:eastAsia="Calibri" w:hAnsi="Calibri" w:cs="Calibri"/>
        </w:rPr>
        <w:t>APL also furthered decolonising the curriculum activities, sharing best practice among staff in relation to teaching, careers events and module redesign, and communicating this with students.</w:t>
      </w:r>
    </w:p>
    <w:p w14:paraId="0007867B" w14:textId="09272C92" w:rsidR="00F323B5" w:rsidRPr="00F323B5" w:rsidRDefault="00F323B5" w:rsidP="00DC6B4B">
      <w:pPr>
        <w:pStyle w:val="ListParagraph"/>
        <w:numPr>
          <w:ilvl w:val="0"/>
          <w:numId w:val="38"/>
        </w:numPr>
        <w:rPr>
          <w:rFonts w:ascii="Calibri" w:eastAsia="Calibri" w:hAnsi="Calibri" w:cs="Calibri"/>
        </w:rPr>
      </w:pPr>
      <w:r w:rsidRPr="00F323B5">
        <w:rPr>
          <w:rFonts w:ascii="Calibri" w:eastAsia="Calibri" w:hAnsi="Calibri" w:cs="Calibri"/>
        </w:rPr>
        <w:t>Newcastle University Business School (NUBS) appointed student interns who have begun consultations with students on EDI issues.</w:t>
      </w:r>
    </w:p>
    <w:p w14:paraId="201F7F45" w14:textId="13F44FF7" w:rsidR="00F323B5" w:rsidRPr="00F323B5" w:rsidRDefault="00F323B5" w:rsidP="00DC6B4B">
      <w:pPr>
        <w:pStyle w:val="ListParagraph"/>
        <w:numPr>
          <w:ilvl w:val="0"/>
          <w:numId w:val="38"/>
        </w:numPr>
        <w:rPr>
          <w:rFonts w:ascii="Calibri" w:eastAsia="Calibri" w:hAnsi="Calibri" w:cs="Calibri"/>
        </w:rPr>
      </w:pPr>
      <w:r w:rsidRPr="00F323B5">
        <w:rPr>
          <w:rFonts w:ascii="Calibri" w:eastAsia="Calibri" w:hAnsi="Calibri" w:cs="Calibri"/>
        </w:rPr>
        <w:t>Newcastle Law School (NLS) provided allyship training for colleagues and students and developed a toolkit on decolonial research practice for UG/PGT students and PGRs.</w:t>
      </w:r>
    </w:p>
    <w:p w14:paraId="631D9587" w14:textId="03296DFD" w:rsidR="00317764" w:rsidRPr="003D4F2D" w:rsidRDefault="00F323B5" w:rsidP="00DC6B4B">
      <w:pPr>
        <w:pStyle w:val="ListParagraph"/>
        <w:numPr>
          <w:ilvl w:val="0"/>
          <w:numId w:val="38"/>
        </w:numPr>
        <w:rPr>
          <w:rFonts w:eastAsiaTheme="minorEastAsia"/>
        </w:rPr>
      </w:pPr>
      <w:r w:rsidRPr="00F323B5">
        <w:rPr>
          <w:rFonts w:ascii="Calibri" w:eastAsia="Calibri" w:hAnsi="Calibri" w:cs="Calibri"/>
        </w:rPr>
        <w:t>School of Modern Languages (SML) embedded and enhanced how they communicate</w:t>
      </w:r>
      <w:r w:rsidRPr="00F323B5">
        <w:t xml:space="preserve"> </w:t>
      </w:r>
      <w:r w:rsidRPr="00F323B5">
        <w:rPr>
          <w:rFonts w:ascii="Calibri" w:eastAsia="Calibri" w:hAnsi="Calibri" w:cs="Calibri"/>
        </w:rPr>
        <w:t xml:space="preserve">EDI related information and guidance including policies, action plans and resources, and a gallery for posting ideas and records of activities. </w:t>
      </w:r>
      <w:r>
        <w:rPr>
          <w:rFonts w:ascii="Calibri" w:eastAsia="Calibri" w:hAnsi="Calibri" w:cs="Calibri"/>
        </w:rPr>
        <w:t xml:space="preserve"> </w:t>
      </w:r>
    </w:p>
    <w:p w14:paraId="41055427" w14:textId="77777777" w:rsidR="00F323B5" w:rsidRPr="00F323B5" w:rsidRDefault="00F323B5" w:rsidP="00F323B5">
      <w:pPr>
        <w:rPr>
          <w:rFonts w:ascii="Calibri" w:eastAsia="Calibri" w:hAnsi="Calibri" w:cs="Calibri"/>
        </w:rPr>
      </w:pPr>
      <w:r w:rsidRPr="00F323B5">
        <w:rPr>
          <w:rFonts w:ascii="Calibri" w:eastAsia="Calibri" w:hAnsi="Calibri" w:cs="Calibri"/>
        </w:rPr>
        <w:t>In addition, to address colleague inequalities:</w:t>
      </w:r>
    </w:p>
    <w:p w14:paraId="73267726" w14:textId="3EE48BC4" w:rsidR="00F323B5" w:rsidRPr="00F323B5" w:rsidRDefault="00F323B5" w:rsidP="00DC6B4B">
      <w:pPr>
        <w:pStyle w:val="ListParagraph"/>
        <w:numPr>
          <w:ilvl w:val="0"/>
          <w:numId w:val="39"/>
        </w:numPr>
        <w:rPr>
          <w:rFonts w:ascii="Calibri" w:eastAsia="Calibri" w:hAnsi="Calibri" w:cs="Calibri"/>
        </w:rPr>
      </w:pPr>
      <w:r w:rsidRPr="00F323B5">
        <w:rPr>
          <w:rFonts w:ascii="Calibri" w:eastAsia="Calibri" w:hAnsi="Calibri" w:cs="Calibri"/>
        </w:rPr>
        <w:t>School of Education, Communication and Language Sciences (ECLS) developed a transparent appointment process for major administrative roles, with conversations on career development built in.</w:t>
      </w:r>
    </w:p>
    <w:p w14:paraId="4BC3008B" w14:textId="15AFA9D0" w:rsidR="00F323B5" w:rsidRPr="00B62BC8" w:rsidRDefault="00F323B5" w:rsidP="00DC6B4B">
      <w:pPr>
        <w:pStyle w:val="ListParagraph"/>
        <w:numPr>
          <w:ilvl w:val="0"/>
          <w:numId w:val="7"/>
        </w:numPr>
        <w:rPr>
          <w:rFonts w:ascii="Calibri" w:eastAsia="Calibri" w:hAnsi="Calibri" w:cs="Calibri"/>
        </w:rPr>
      </w:pPr>
      <w:r w:rsidRPr="00B62BC8">
        <w:rPr>
          <w:rFonts w:ascii="Calibri" w:eastAsia="Calibri" w:hAnsi="Calibri" w:cs="Calibri"/>
        </w:rPr>
        <w:t>School of History, Classics and Archaeology (HCA) developed a work plan</w:t>
      </w:r>
      <w:r w:rsidR="00B62BC8" w:rsidRPr="00B62BC8">
        <w:rPr>
          <w:rFonts w:ascii="Calibri" w:eastAsia="Calibri" w:hAnsi="Calibri" w:cs="Calibri"/>
        </w:rPr>
        <w:t xml:space="preserve"> </w:t>
      </w:r>
      <w:r w:rsidRPr="00B62BC8">
        <w:rPr>
          <w:rFonts w:ascii="Calibri" w:eastAsia="Calibri" w:hAnsi="Calibri" w:cs="Calibri"/>
        </w:rPr>
        <w:t>to change the culture around promotion and progression, joined up with a new Mentoring Strategy (with a new Lead Mentor role, mentoring mapping exercise and away day).</w:t>
      </w:r>
    </w:p>
    <w:p w14:paraId="4CDD2393" w14:textId="688CC8A9" w:rsidR="00317764" w:rsidRPr="00B60BD2" w:rsidRDefault="00F323B5" w:rsidP="00DC6B4B">
      <w:pPr>
        <w:pStyle w:val="ListParagraph"/>
        <w:numPr>
          <w:ilvl w:val="0"/>
          <w:numId w:val="39"/>
        </w:numPr>
        <w:rPr>
          <w:rFonts w:eastAsiaTheme="minorEastAsia"/>
        </w:rPr>
      </w:pPr>
      <w:r w:rsidRPr="00F323B5">
        <w:rPr>
          <w:rFonts w:ascii="Calibri" w:eastAsia="Calibri" w:hAnsi="Calibri" w:cs="Calibri"/>
        </w:rPr>
        <w:t>NUBS established an EDI Conversational Lunch series, with external and internal speakers on issues such as micro aggressions, voice and accent, and faith/spirituality.</w:t>
      </w:r>
    </w:p>
    <w:p w14:paraId="5AAAA979" w14:textId="40C054EB" w:rsidR="00317764" w:rsidRPr="00EC45FF" w:rsidRDefault="00F323B5" w:rsidP="00317764">
      <w:pPr>
        <w:rPr>
          <w:rFonts w:ascii="Calibri" w:eastAsia="Calibri" w:hAnsi="Calibri" w:cs="Calibri"/>
          <w:b/>
          <w:bCs/>
        </w:rPr>
      </w:pPr>
      <w:r w:rsidRPr="00EC45FF">
        <w:rPr>
          <w:rFonts w:ascii="Calibri" w:eastAsia="Calibri" w:hAnsi="Calibri" w:cs="Calibri"/>
          <w:b/>
          <w:bCs/>
        </w:rPr>
        <w:t>Priorities for 2022-23</w:t>
      </w:r>
      <w:r w:rsidR="00EC45FF">
        <w:rPr>
          <w:rFonts w:ascii="Calibri" w:eastAsia="Calibri" w:hAnsi="Calibri" w:cs="Calibri"/>
          <w:b/>
          <w:bCs/>
        </w:rPr>
        <w:t xml:space="preserve"> include:</w:t>
      </w:r>
    </w:p>
    <w:p w14:paraId="06682DF8" w14:textId="7C4DF58A" w:rsidR="00F323B5" w:rsidRPr="00F323B5" w:rsidRDefault="00F323B5" w:rsidP="00DC6B4B">
      <w:pPr>
        <w:pStyle w:val="ListParagraph"/>
        <w:numPr>
          <w:ilvl w:val="0"/>
          <w:numId w:val="40"/>
        </w:numPr>
        <w:rPr>
          <w:rFonts w:ascii="Calibri" w:eastAsia="Calibri" w:hAnsi="Calibri" w:cs="Calibri"/>
        </w:rPr>
      </w:pPr>
      <w:r w:rsidRPr="00F323B5">
        <w:rPr>
          <w:rFonts w:ascii="Calibri" w:eastAsia="Calibri" w:hAnsi="Calibri" w:cs="Calibri"/>
        </w:rPr>
        <w:t>HaSS Faculty Athena Swan Silver application, to be submitted November 2023.</w:t>
      </w:r>
    </w:p>
    <w:p w14:paraId="65B82974" w14:textId="662C7FFD" w:rsidR="00F323B5" w:rsidRPr="00F323B5" w:rsidRDefault="00F323B5" w:rsidP="00DC6B4B">
      <w:pPr>
        <w:pStyle w:val="ListParagraph"/>
        <w:numPr>
          <w:ilvl w:val="0"/>
          <w:numId w:val="40"/>
        </w:numPr>
        <w:rPr>
          <w:rFonts w:ascii="Calibri" w:eastAsia="Calibri" w:hAnsi="Calibri" w:cs="Calibri"/>
        </w:rPr>
      </w:pPr>
      <w:r w:rsidRPr="00F323B5">
        <w:rPr>
          <w:rFonts w:ascii="Calibri" w:eastAsia="Calibri" w:hAnsi="Calibri" w:cs="Calibri"/>
        </w:rPr>
        <w:t>Create a Faculty campaign to encourage sharing of EDI data.</w:t>
      </w:r>
    </w:p>
    <w:p w14:paraId="651B4757" w14:textId="5A89B68C" w:rsidR="00F323B5" w:rsidRPr="00F323B5" w:rsidRDefault="00F323B5" w:rsidP="00DC6B4B">
      <w:pPr>
        <w:pStyle w:val="ListParagraph"/>
        <w:numPr>
          <w:ilvl w:val="0"/>
          <w:numId w:val="40"/>
        </w:numPr>
        <w:rPr>
          <w:rFonts w:ascii="Calibri" w:eastAsia="Calibri" w:hAnsi="Calibri" w:cs="Calibri"/>
        </w:rPr>
      </w:pPr>
      <w:r w:rsidRPr="00F323B5">
        <w:rPr>
          <w:rFonts w:ascii="Calibri" w:eastAsia="Calibri" w:hAnsi="Calibri" w:cs="Calibri"/>
        </w:rPr>
        <w:t>Conduct a project entitled, Being Disabled and Doing Research, which is based in HaSS and will inform Faculty and University actions.</w:t>
      </w:r>
    </w:p>
    <w:p w14:paraId="628CCCA4" w14:textId="0B0DC4AC" w:rsidR="00F323B5" w:rsidRPr="00F323B5" w:rsidRDefault="00F323B5" w:rsidP="00DC6B4B">
      <w:pPr>
        <w:pStyle w:val="ListParagraph"/>
        <w:numPr>
          <w:ilvl w:val="0"/>
          <w:numId w:val="40"/>
        </w:numPr>
        <w:rPr>
          <w:rFonts w:ascii="Calibri" w:eastAsia="Calibri" w:hAnsi="Calibri" w:cs="Calibri"/>
        </w:rPr>
      </w:pPr>
      <w:r w:rsidRPr="00F323B5">
        <w:rPr>
          <w:rFonts w:ascii="Calibri" w:eastAsia="Calibri" w:hAnsi="Calibri" w:cs="Calibri"/>
        </w:rPr>
        <w:t xml:space="preserve">Deliver OfS-funded project, Postgraduate Opportunities </w:t>
      </w:r>
      <w:proofErr w:type="gramStart"/>
      <w:r w:rsidRPr="00F323B5">
        <w:rPr>
          <w:rFonts w:ascii="Calibri" w:eastAsia="Calibri" w:hAnsi="Calibri" w:cs="Calibri"/>
        </w:rPr>
        <w:t>North East</w:t>
      </w:r>
      <w:proofErr w:type="gramEnd"/>
      <w:r w:rsidRPr="00F323B5">
        <w:rPr>
          <w:rFonts w:ascii="Calibri" w:eastAsia="Calibri" w:hAnsi="Calibri" w:cs="Calibri"/>
        </w:rPr>
        <w:t>, which is being ran across 5 institutions, addressing racially minoritised PGR experience with the aim of making University PGR processes more inclusive.</w:t>
      </w:r>
    </w:p>
    <w:p w14:paraId="591C8AE2" w14:textId="586D48CF" w:rsidR="00317764" w:rsidRPr="00C45548" w:rsidRDefault="00F323B5" w:rsidP="00DC6B4B">
      <w:pPr>
        <w:pStyle w:val="ListParagraph"/>
        <w:numPr>
          <w:ilvl w:val="0"/>
          <w:numId w:val="40"/>
        </w:numPr>
        <w:rPr>
          <w:rFonts w:eastAsiaTheme="minorEastAsia"/>
        </w:rPr>
      </w:pPr>
      <w:r w:rsidRPr="00F323B5">
        <w:rPr>
          <w:rFonts w:ascii="Calibri" w:eastAsia="Calibri" w:hAnsi="Calibri" w:cs="Calibri"/>
        </w:rPr>
        <w:t>Conduct listening session on managers’ and leaders’ barriers to act</w:t>
      </w:r>
      <w:r>
        <w:rPr>
          <w:rFonts w:ascii="Calibri" w:eastAsia="Calibri" w:hAnsi="Calibri" w:cs="Calibri"/>
        </w:rPr>
        <w:t xml:space="preserve"> </w:t>
      </w:r>
      <w:r w:rsidRPr="00F323B5">
        <w:rPr>
          <w:rFonts w:ascii="Calibri" w:eastAsia="Calibri" w:hAnsi="Calibri" w:cs="Calibri"/>
        </w:rPr>
        <w:t>on EDI issues.</w:t>
      </w:r>
      <w:r w:rsidR="00317764" w:rsidRPr="00C45548">
        <w:rPr>
          <w:rFonts w:ascii="Calibri" w:eastAsia="Calibri" w:hAnsi="Calibri" w:cs="Calibri"/>
        </w:rPr>
        <w:t xml:space="preserve"> </w:t>
      </w:r>
    </w:p>
    <w:p w14:paraId="75E5D857" w14:textId="03590362" w:rsidR="439FD598" w:rsidRDefault="439FD598" w:rsidP="53766C39">
      <w:pPr>
        <w:pStyle w:val="Heading3"/>
        <w:rPr>
          <w:rFonts w:ascii="Calibri Light" w:hAnsi="Calibri Light"/>
          <w:b/>
          <w:bCs/>
          <w:color w:val="1F3763"/>
        </w:rPr>
      </w:pPr>
      <w:bookmarkStart w:id="128" w:name="_Toc94185436"/>
      <w:bookmarkStart w:id="129" w:name="_Toc86832918"/>
      <w:bookmarkStart w:id="130" w:name="_Toc87435086"/>
      <w:bookmarkStart w:id="131" w:name="_Toc87856827"/>
      <w:r w:rsidRPr="3C4DAE66">
        <w:rPr>
          <w:b/>
          <w:bCs/>
        </w:rPr>
        <w:t>Faculty of Medical Sciences</w:t>
      </w:r>
      <w:bookmarkEnd w:id="128"/>
      <w:r w:rsidR="7654ABA8" w:rsidRPr="3C4DAE66">
        <w:rPr>
          <w:b/>
          <w:bCs/>
        </w:rPr>
        <w:t xml:space="preserve"> </w:t>
      </w:r>
      <w:bookmarkEnd w:id="129"/>
      <w:bookmarkEnd w:id="130"/>
      <w:bookmarkEnd w:id="131"/>
    </w:p>
    <w:p w14:paraId="43930EF0" w14:textId="51FC258D" w:rsidR="21A24147" w:rsidRDefault="00F323B5" w:rsidP="0EE17C8D">
      <w:pPr>
        <w:rPr>
          <w:rFonts w:ascii="Calibri" w:eastAsia="Calibri" w:hAnsi="Calibri" w:cs="Calibri"/>
        </w:rPr>
      </w:pPr>
      <w:r w:rsidRPr="00F323B5">
        <w:rPr>
          <w:rFonts w:ascii="Calibri" w:eastAsia="Calibri" w:hAnsi="Calibri" w:cs="Calibri"/>
        </w:rPr>
        <w:t>This year has seen the FMS carry out several surveys to develop understanding about the different experiences of students and colleagues as part of the Equality project. Other highlights include:</w:t>
      </w:r>
    </w:p>
    <w:p w14:paraId="677E0501" w14:textId="101998B9" w:rsidR="00F323B5" w:rsidRPr="00F323B5" w:rsidRDefault="00F323B5" w:rsidP="00DC6B4B">
      <w:pPr>
        <w:pStyle w:val="ListParagraph"/>
        <w:numPr>
          <w:ilvl w:val="0"/>
          <w:numId w:val="41"/>
        </w:numPr>
        <w:rPr>
          <w:rFonts w:ascii="Calibri" w:eastAsia="Calibri" w:hAnsi="Calibri" w:cs="Calibri"/>
        </w:rPr>
      </w:pPr>
      <w:r w:rsidRPr="00F323B5">
        <w:rPr>
          <w:rFonts w:ascii="Calibri" w:eastAsia="Calibri" w:hAnsi="Calibri" w:cs="Calibri"/>
        </w:rPr>
        <w:lastRenderedPageBreak/>
        <w:t>The Population Health Sciences Institute has been awarded funding from the QR Enhancing Research Culture Fund to explore decolonising the curriculum in research, the findings of which will inform strategic planning.</w:t>
      </w:r>
    </w:p>
    <w:p w14:paraId="643F8040" w14:textId="429BCA8A" w:rsidR="00F323B5" w:rsidRPr="00F323B5" w:rsidRDefault="00F323B5" w:rsidP="00DC6B4B">
      <w:pPr>
        <w:pStyle w:val="ListParagraph"/>
        <w:numPr>
          <w:ilvl w:val="0"/>
          <w:numId w:val="41"/>
        </w:numPr>
        <w:rPr>
          <w:rFonts w:ascii="Calibri" w:eastAsia="Calibri" w:hAnsi="Calibri" w:cs="Calibri"/>
        </w:rPr>
      </w:pPr>
      <w:r w:rsidRPr="00F323B5">
        <w:rPr>
          <w:rFonts w:ascii="Calibri" w:eastAsia="Calibri" w:hAnsi="Calibri" w:cs="Calibri"/>
        </w:rPr>
        <w:t>The School of Medicine have established with community groups and a collaboration with Teakisi a north-east organisation supporting EDI in the community, to actively recruit role players from minoritised ethnic backgrounds to act as simulated patients for teaching and assessment.</w:t>
      </w:r>
    </w:p>
    <w:p w14:paraId="6E24F42C" w14:textId="63C18B32" w:rsidR="439FD598" w:rsidRPr="00F323B5" w:rsidRDefault="00F323B5" w:rsidP="00DC6B4B">
      <w:pPr>
        <w:pStyle w:val="ListParagraph"/>
        <w:numPr>
          <w:ilvl w:val="0"/>
          <w:numId w:val="41"/>
        </w:numPr>
      </w:pPr>
      <w:r w:rsidRPr="00F323B5">
        <w:rPr>
          <w:rFonts w:ascii="Calibri" w:eastAsia="Calibri" w:hAnsi="Calibri" w:cs="Calibri"/>
        </w:rPr>
        <w:t>Colleagues and student EDI representatives from the School of Medicine have joined a National</w:t>
      </w:r>
      <w:r>
        <w:rPr>
          <w:rFonts w:ascii="Calibri" w:eastAsia="Calibri" w:hAnsi="Calibri" w:cs="Calibri"/>
        </w:rPr>
        <w:t xml:space="preserve"> </w:t>
      </w:r>
      <w:r w:rsidRPr="00F323B5">
        <w:rPr>
          <w:rFonts w:ascii="Calibri" w:eastAsia="Calibri" w:hAnsi="Calibri" w:cs="Calibri"/>
        </w:rPr>
        <w:t>Decolonising/Diversifying the Curriculum Medical School Network to learn and share best practice.</w:t>
      </w:r>
    </w:p>
    <w:p w14:paraId="6B733299" w14:textId="3323A60A" w:rsidR="00F323B5" w:rsidRDefault="00F323B5" w:rsidP="00DC6B4B">
      <w:pPr>
        <w:pStyle w:val="ListParagraph"/>
        <w:numPr>
          <w:ilvl w:val="0"/>
          <w:numId w:val="41"/>
        </w:numPr>
      </w:pPr>
      <w:r>
        <w:t>School of Medicine signed the GLADD (The Association of LGBTQ+ Doctors and Dentists) Medical Schools charter on conversion therapy.</w:t>
      </w:r>
    </w:p>
    <w:p w14:paraId="3D691862" w14:textId="628F84B5" w:rsidR="00F323B5" w:rsidRDefault="00F323B5" w:rsidP="00DC6B4B">
      <w:pPr>
        <w:pStyle w:val="ListParagraph"/>
        <w:numPr>
          <w:ilvl w:val="0"/>
          <w:numId w:val="41"/>
        </w:numPr>
      </w:pPr>
      <w:r>
        <w:t>Inspiring Women Campaign inviting colleagues to nominate women doing inspiring work and celebrate their stories.</w:t>
      </w:r>
    </w:p>
    <w:p w14:paraId="1305E551" w14:textId="3AFB2F4E" w:rsidR="00F323B5" w:rsidRDefault="00F323B5" w:rsidP="00DC6B4B">
      <w:pPr>
        <w:pStyle w:val="ListParagraph"/>
        <w:numPr>
          <w:ilvl w:val="0"/>
          <w:numId w:val="41"/>
        </w:numPr>
      </w:pPr>
      <w:r>
        <w:t>On World AIDs day, the School of Medicine ran an HIV awareness event with patient volunteers who discussed their lived experiences.</w:t>
      </w:r>
    </w:p>
    <w:p w14:paraId="7502FE11" w14:textId="59805C53" w:rsidR="439FD598" w:rsidRPr="00EC45FF" w:rsidRDefault="00F323B5" w:rsidP="0EE17C8D">
      <w:pPr>
        <w:rPr>
          <w:rFonts w:ascii="Calibri" w:eastAsia="Calibri" w:hAnsi="Calibri" w:cs="Calibri"/>
          <w:b/>
          <w:bCs/>
        </w:rPr>
      </w:pPr>
      <w:r w:rsidRPr="00EC45FF">
        <w:rPr>
          <w:rFonts w:ascii="Calibri" w:eastAsia="Calibri" w:hAnsi="Calibri" w:cs="Calibri"/>
          <w:b/>
          <w:bCs/>
        </w:rPr>
        <w:t>Priority activities for 2022-23</w:t>
      </w:r>
      <w:r w:rsidR="33B3CCD3" w:rsidRPr="00EC45FF">
        <w:rPr>
          <w:rFonts w:ascii="Calibri" w:eastAsia="Calibri" w:hAnsi="Calibri" w:cs="Calibri"/>
          <w:b/>
          <w:bCs/>
        </w:rPr>
        <w:t xml:space="preserve"> </w:t>
      </w:r>
      <w:r w:rsidR="7AF4A7C7" w:rsidRPr="00EC45FF">
        <w:rPr>
          <w:rFonts w:ascii="Calibri" w:eastAsia="Calibri" w:hAnsi="Calibri" w:cs="Calibri"/>
          <w:b/>
          <w:bCs/>
        </w:rPr>
        <w:t>include:</w:t>
      </w:r>
    </w:p>
    <w:p w14:paraId="044F1321" w14:textId="2E681648" w:rsidR="00F323B5" w:rsidRPr="00F323B5" w:rsidRDefault="00F323B5" w:rsidP="00DC6B4B">
      <w:pPr>
        <w:pStyle w:val="ListParagraph"/>
        <w:numPr>
          <w:ilvl w:val="0"/>
          <w:numId w:val="42"/>
        </w:numPr>
        <w:rPr>
          <w:rFonts w:ascii="Calibri" w:eastAsia="Calibri" w:hAnsi="Calibri" w:cs="Calibri"/>
        </w:rPr>
      </w:pPr>
      <w:r w:rsidRPr="00F323B5">
        <w:rPr>
          <w:rFonts w:ascii="Calibri" w:eastAsia="Calibri" w:hAnsi="Calibri" w:cs="Calibri"/>
        </w:rPr>
        <w:t>Convening a Disability Action Group to review the accessibility of FMS buildings and spaces.</w:t>
      </w:r>
    </w:p>
    <w:p w14:paraId="7FEE99B7" w14:textId="67795DB5" w:rsidR="00F323B5" w:rsidRPr="00F323B5" w:rsidRDefault="00F323B5" w:rsidP="00DC6B4B">
      <w:pPr>
        <w:pStyle w:val="ListParagraph"/>
        <w:numPr>
          <w:ilvl w:val="0"/>
          <w:numId w:val="42"/>
        </w:numPr>
        <w:rPr>
          <w:rFonts w:ascii="Calibri" w:eastAsia="Calibri" w:hAnsi="Calibri" w:cs="Calibri"/>
        </w:rPr>
      </w:pPr>
      <w:r w:rsidRPr="00F323B5">
        <w:rPr>
          <w:rFonts w:ascii="Calibri" w:eastAsia="Calibri" w:hAnsi="Calibri" w:cs="Calibri"/>
        </w:rPr>
        <w:t>Undertaking research about inequalities in student engagement in extra-curricular opportunities and activities.</w:t>
      </w:r>
    </w:p>
    <w:p w14:paraId="2E9FD167" w14:textId="26BA7B0B" w:rsidR="00F323B5" w:rsidRPr="00F323B5" w:rsidRDefault="00F323B5" w:rsidP="00DC6B4B">
      <w:pPr>
        <w:pStyle w:val="ListParagraph"/>
        <w:numPr>
          <w:ilvl w:val="0"/>
          <w:numId w:val="42"/>
        </w:numPr>
        <w:rPr>
          <w:rFonts w:ascii="Calibri" w:eastAsia="Calibri" w:hAnsi="Calibri" w:cs="Calibri"/>
        </w:rPr>
      </w:pPr>
      <w:r w:rsidRPr="00F323B5">
        <w:rPr>
          <w:rFonts w:ascii="Calibri" w:eastAsia="Calibri" w:hAnsi="Calibri" w:cs="Calibri"/>
        </w:rPr>
        <w:t>Presenting and sharing the work of the Equality Project at the annual Medical School Conference and developing a 5-year action plan.</w:t>
      </w:r>
    </w:p>
    <w:p w14:paraId="4D9E5816" w14:textId="6E73B135" w:rsidR="27E7D3F1" w:rsidRDefault="00F323B5" w:rsidP="00DC6B4B">
      <w:pPr>
        <w:pStyle w:val="ListParagraph"/>
        <w:numPr>
          <w:ilvl w:val="0"/>
          <w:numId w:val="42"/>
        </w:numPr>
        <w:rPr>
          <w:rFonts w:eastAsiaTheme="minorEastAsia"/>
        </w:rPr>
      </w:pPr>
      <w:r w:rsidRPr="00F323B5">
        <w:rPr>
          <w:rFonts w:ascii="Calibri" w:eastAsia="Calibri" w:hAnsi="Calibri" w:cs="Calibri"/>
        </w:rPr>
        <w:t>The School of Psychology leading work to offer new Wudu and Prayer spaces.</w:t>
      </w:r>
      <w:r w:rsidR="27E7D3F1" w:rsidRPr="0EE17C8D">
        <w:rPr>
          <w:rFonts w:ascii="Calibri" w:eastAsia="Calibri" w:hAnsi="Calibri" w:cs="Calibri"/>
        </w:rPr>
        <w:t xml:space="preserve"> </w:t>
      </w:r>
    </w:p>
    <w:p w14:paraId="356E1AD1" w14:textId="2A375C92" w:rsidR="3D20A425" w:rsidRDefault="3D20A425" w:rsidP="53766C39">
      <w:pPr>
        <w:pStyle w:val="Heading3"/>
        <w:rPr>
          <w:rFonts w:ascii="Calibri Light" w:hAnsi="Calibri Light"/>
          <w:b/>
          <w:bCs/>
          <w:color w:val="1F3763"/>
        </w:rPr>
      </w:pPr>
      <w:bookmarkStart w:id="132" w:name="_Toc94185437"/>
      <w:bookmarkStart w:id="133" w:name="_Toc86832919"/>
      <w:bookmarkStart w:id="134" w:name="_Toc87435087"/>
      <w:bookmarkStart w:id="135" w:name="_Toc87856828"/>
      <w:r w:rsidRPr="3C4DAE66">
        <w:rPr>
          <w:b/>
          <w:bCs/>
        </w:rPr>
        <w:t xml:space="preserve">Faculty of </w:t>
      </w:r>
      <w:r w:rsidR="107203D9" w:rsidRPr="3C4DAE66">
        <w:rPr>
          <w:b/>
          <w:bCs/>
        </w:rPr>
        <w:t>Science, Agriculture and Engineering</w:t>
      </w:r>
      <w:bookmarkEnd w:id="132"/>
      <w:r w:rsidR="107203D9" w:rsidRPr="3C4DAE66">
        <w:rPr>
          <w:b/>
          <w:bCs/>
        </w:rPr>
        <w:t xml:space="preserve"> </w:t>
      </w:r>
      <w:bookmarkEnd w:id="133"/>
      <w:bookmarkEnd w:id="134"/>
      <w:bookmarkEnd w:id="135"/>
    </w:p>
    <w:p w14:paraId="5BD50796" w14:textId="1C92F00B" w:rsidR="6B725ED1" w:rsidRDefault="00EC45FF" w:rsidP="0EE17C8D">
      <w:pPr>
        <w:rPr>
          <w:rFonts w:eastAsiaTheme="minorEastAsia"/>
        </w:rPr>
      </w:pPr>
      <w:r w:rsidRPr="00EC45FF">
        <w:rPr>
          <w:rFonts w:ascii="Calibri" w:eastAsia="Calibri" w:hAnsi="Calibri" w:cs="Calibri"/>
        </w:rPr>
        <w:t>This year the SAgE Faculty EDI Team has collaborated with a wide range of colleagues including leading the development of new University guidance about inclusive pronoun practices and specific projects to decolonise the curriculum. Highlights include</w:t>
      </w:r>
      <w:r w:rsidR="6B725ED1" w:rsidRPr="0EE17C8D">
        <w:rPr>
          <w:rFonts w:ascii="Calibri" w:eastAsia="Calibri" w:hAnsi="Calibri" w:cs="Calibri"/>
        </w:rPr>
        <w:t xml:space="preserve">: </w:t>
      </w:r>
    </w:p>
    <w:p w14:paraId="4A133837" w14:textId="6F2E4FF2" w:rsidR="00EC45FF" w:rsidRPr="00EC45FF" w:rsidRDefault="00EC45FF" w:rsidP="00DC6B4B">
      <w:pPr>
        <w:pStyle w:val="ListParagraph"/>
        <w:numPr>
          <w:ilvl w:val="0"/>
          <w:numId w:val="43"/>
        </w:numPr>
        <w:rPr>
          <w:rFonts w:ascii="Calibri" w:eastAsia="Calibri" w:hAnsi="Calibri" w:cs="Calibri"/>
        </w:rPr>
      </w:pPr>
      <w:r w:rsidRPr="00EC45FF">
        <w:rPr>
          <w:rFonts w:ascii="Calibri" w:eastAsia="Calibri" w:hAnsi="Calibri" w:cs="Calibri"/>
        </w:rPr>
        <w:t>Launching the faculty-wide People Project, which is working to improve colleagues’ experiences and work life satisfaction across the faculty.</w:t>
      </w:r>
    </w:p>
    <w:p w14:paraId="5E606361" w14:textId="39310679" w:rsidR="00EC45FF" w:rsidRPr="00EC45FF" w:rsidRDefault="00EC45FF" w:rsidP="00DC6B4B">
      <w:pPr>
        <w:pStyle w:val="ListParagraph"/>
        <w:numPr>
          <w:ilvl w:val="0"/>
          <w:numId w:val="43"/>
        </w:numPr>
        <w:rPr>
          <w:rFonts w:ascii="Calibri" w:eastAsia="Calibri" w:hAnsi="Calibri" w:cs="Calibri"/>
        </w:rPr>
      </w:pPr>
      <w:r w:rsidRPr="00EC45FF">
        <w:rPr>
          <w:rFonts w:ascii="Calibri" w:eastAsia="Calibri" w:hAnsi="Calibri" w:cs="Calibri"/>
        </w:rPr>
        <w:t>A Royal Academy of Engineering (RAEng) funded collaboration between the School of Engineering, Inclusive Newcastle and Faculty EDI examining the role of peer networks in improving belonging and inclusion for minoritised ethnic undergraduate students.</w:t>
      </w:r>
    </w:p>
    <w:p w14:paraId="45B7E09D" w14:textId="6E25933E" w:rsidR="002352C9" w:rsidRPr="002352C9" w:rsidRDefault="00EC45FF" w:rsidP="00DC6B4B">
      <w:pPr>
        <w:pStyle w:val="ListParagraph"/>
        <w:numPr>
          <w:ilvl w:val="0"/>
          <w:numId w:val="43"/>
        </w:numPr>
      </w:pPr>
      <w:r w:rsidRPr="00EC45FF">
        <w:rPr>
          <w:rFonts w:ascii="Calibri" w:eastAsia="Calibri" w:hAnsi="Calibri" w:cs="Calibri"/>
        </w:rPr>
        <w:t>The School of Natural and Environmental Sciences completed two projects funded by The Natural Environment Research Council (NERC), one project focussed on decolonising the</w:t>
      </w:r>
      <w:r w:rsidRPr="00EC45FF">
        <w:t xml:space="preserve"> </w:t>
      </w:r>
      <w:r w:rsidRPr="00EC45FF">
        <w:rPr>
          <w:rFonts w:ascii="Calibri" w:eastAsia="Calibri" w:hAnsi="Calibri" w:cs="Calibri"/>
        </w:rPr>
        <w:t>Curriculum and the other on EDI considerations for colleagues carrying out fieldwork.</w:t>
      </w:r>
      <w:r w:rsidR="003338CB" w:rsidRPr="00EC45FF">
        <w:rPr>
          <w:rFonts w:ascii="Calibri" w:eastAsia="Calibri" w:hAnsi="Calibri" w:cs="Calibri"/>
        </w:rPr>
        <w:t xml:space="preserve"> </w:t>
      </w:r>
    </w:p>
    <w:p w14:paraId="59670AF1" w14:textId="7C5B91C9" w:rsidR="00A77DD9" w:rsidRPr="002352C9" w:rsidRDefault="00EC45FF" w:rsidP="00DC6B4B">
      <w:pPr>
        <w:pStyle w:val="ListParagraph"/>
        <w:numPr>
          <w:ilvl w:val="0"/>
          <w:numId w:val="43"/>
        </w:numPr>
      </w:pPr>
      <w:r w:rsidRPr="00EC45FF">
        <w:rPr>
          <w:rFonts w:ascii="Calibri" w:eastAsia="Calibri" w:hAnsi="Calibri" w:cs="Calibri"/>
        </w:rPr>
        <w:t>An International Women’s Day event with inspirational women speakers reflecting on their contributions to breaking the gender bias in Science, Technology, Engineering and Mathematics and part of the celebrations of 150 years of Science, Agriculture and Engineering at Newcastle University.</w:t>
      </w:r>
    </w:p>
    <w:p w14:paraId="63300DFE" w14:textId="2D86810E" w:rsidR="002821DB" w:rsidRDefault="00EC45FF" w:rsidP="002821DB">
      <w:pPr>
        <w:rPr>
          <w:b/>
          <w:bCs/>
        </w:rPr>
      </w:pPr>
      <w:r>
        <w:rPr>
          <w:b/>
          <w:bCs/>
        </w:rPr>
        <w:t>Priority activities for 2022-23 include:</w:t>
      </w:r>
    </w:p>
    <w:p w14:paraId="0EEEC2C1" w14:textId="1F1D7294" w:rsidR="00EC45FF" w:rsidRPr="00EC45FF" w:rsidRDefault="00EC45FF" w:rsidP="00DC6B4B">
      <w:pPr>
        <w:pStyle w:val="ListParagraph"/>
        <w:numPr>
          <w:ilvl w:val="0"/>
          <w:numId w:val="44"/>
        </w:numPr>
      </w:pPr>
      <w:r w:rsidRPr="00EC45FF">
        <w:t>Supporting and improving gender and race equality through the Athena Swan Charter submission process and REC Action Plan.</w:t>
      </w:r>
    </w:p>
    <w:p w14:paraId="78B21444" w14:textId="5EEBCA1F" w:rsidR="00EC45FF" w:rsidRPr="00EC45FF" w:rsidRDefault="00EC45FF" w:rsidP="00DC6B4B">
      <w:pPr>
        <w:pStyle w:val="ListParagraph"/>
        <w:numPr>
          <w:ilvl w:val="0"/>
          <w:numId w:val="44"/>
        </w:numPr>
      </w:pPr>
      <w:r w:rsidRPr="00EC45FF">
        <w:t>Embedding Equality Analysis in all faculty operations.</w:t>
      </w:r>
    </w:p>
    <w:p w14:paraId="62C070B5" w14:textId="5F2F7E93" w:rsidR="00EC45FF" w:rsidRPr="00EC45FF" w:rsidRDefault="00EC45FF" w:rsidP="00DC6B4B">
      <w:pPr>
        <w:pStyle w:val="ListParagraph"/>
        <w:numPr>
          <w:ilvl w:val="0"/>
          <w:numId w:val="44"/>
        </w:numPr>
      </w:pPr>
      <w:r w:rsidRPr="00EC45FF">
        <w:t>Improving colleague and student engagement in faculty EDI events and activities.</w:t>
      </w:r>
    </w:p>
    <w:p w14:paraId="1C11CD15" w14:textId="5FF2BA98" w:rsidR="00EC45FF" w:rsidRPr="00EC45FF" w:rsidRDefault="00EC45FF" w:rsidP="00DC6B4B">
      <w:pPr>
        <w:pStyle w:val="ListParagraph"/>
        <w:numPr>
          <w:ilvl w:val="0"/>
          <w:numId w:val="44"/>
        </w:numPr>
      </w:pPr>
      <w:r w:rsidRPr="00EC45FF">
        <w:lastRenderedPageBreak/>
        <w:t>Developing our understanding of disability and neurodiversity in STEM for students and colleagues.</w:t>
      </w:r>
    </w:p>
    <w:p w14:paraId="4BD27698" w14:textId="016B2C6B" w:rsidR="3BB661A3" w:rsidRDefault="10DD2121" w:rsidP="3C4DAE66">
      <w:pPr>
        <w:pStyle w:val="Heading2"/>
        <w:rPr>
          <w:rFonts w:ascii="Calibri Light" w:eastAsia="Yu Gothic Light" w:hAnsi="Calibri Light" w:cs="Times New Roman"/>
          <w:b/>
          <w:bCs/>
        </w:rPr>
      </w:pPr>
      <w:bookmarkStart w:id="136" w:name="_Toc86832920"/>
      <w:bookmarkStart w:id="137" w:name="_Toc94185438"/>
      <w:r w:rsidRPr="3C4DAE66">
        <w:rPr>
          <w:b/>
          <w:bCs/>
        </w:rPr>
        <w:t xml:space="preserve">EDI </w:t>
      </w:r>
      <w:r w:rsidR="72572D91" w:rsidRPr="3C4DAE66">
        <w:rPr>
          <w:b/>
          <w:bCs/>
        </w:rPr>
        <w:t>N</w:t>
      </w:r>
      <w:r w:rsidRPr="3C4DAE66">
        <w:rPr>
          <w:b/>
          <w:bCs/>
        </w:rPr>
        <w:t>etworks highlights</w:t>
      </w:r>
      <w:bookmarkEnd w:id="136"/>
      <w:bookmarkEnd w:id="137"/>
    </w:p>
    <w:p w14:paraId="68372A67" w14:textId="5D893A2C" w:rsidR="00EC45FF" w:rsidRPr="00EC45FF" w:rsidRDefault="00EC45FF" w:rsidP="00EC45FF">
      <w:pPr>
        <w:rPr>
          <w:b/>
          <w:bCs/>
        </w:rPr>
      </w:pPr>
      <w:r w:rsidRPr="00EC45FF">
        <w:rPr>
          <w:b/>
          <w:bCs/>
        </w:rPr>
        <w:t xml:space="preserve">EDI Networks for colleagues and postgraduate researchers are essential to our work and community and contribute to the success of our University. The networks bring people together from across the University, to share their experiences and provide opportunities for peer support. The networks also play a consultative role, providing valuable input into University policies, strategies and practices. </w:t>
      </w:r>
    </w:p>
    <w:p w14:paraId="27628D95" w14:textId="77777777" w:rsidR="00EC45FF" w:rsidRPr="00EC45FF" w:rsidRDefault="00EC45FF" w:rsidP="00EC45FF">
      <w:pPr>
        <w:rPr>
          <w:b/>
          <w:bCs/>
        </w:rPr>
      </w:pPr>
      <w:r w:rsidRPr="00EC45FF">
        <w:rPr>
          <w:b/>
          <w:bCs/>
        </w:rPr>
        <w:t xml:space="preserve">The EDI Networks are increasingly working collectively to recognise intersectionality - how different identities that overlap can create additional layers of disadvantage.  </w:t>
      </w:r>
    </w:p>
    <w:p w14:paraId="4A3624AB" w14:textId="4988F100" w:rsidR="00802F50" w:rsidRDefault="00EC45FF" w:rsidP="0050175A">
      <w:r>
        <w:t>The EDI Networks include the NU Race Equality Network (NU REN); NU Women (and NU Professors); NU Parents, NU Carers, Disability Interest Group (DIG) and Rainbow@NCL. NU TechNet is also a network for all technicians at the University and is committed to developing an inclusive technician community</w:t>
      </w:r>
      <w:bookmarkStart w:id="138" w:name="_Toc94185439"/>
      <w:bookmarkStart w:id="139" w:name="_Toc86832921"/>
      <w:bookmarkStart w:id="140" w:name="_Toc87435089"/>
      <w:bookmarkStart w:id="141" w:name="_Toc87856830"/>
      <w:r w:rsidR="008307D1">
        <w:t>.</w:t>
      </w:r>
    </w:p>
    <w:p w14:paraId="259259A7" w14:textId="77777777" w:rsidR="008307D1" w:rsidRDefault="008307D1" w:rsidP="0050175A"/>
    <w:p w14:paraId="5EBF6E7A" w14:textId="50F10ABF" w:rsidR="3BB661A3" w:rsidRDefault="3048822D" w:rsidP="3C4DAE66">
      <w:pPr>
        <w:pStyle w:val="Heading3"/>
        <w:rPr>
          <w:b/>
          <w:bCs/>
        </w:rPr>
      </w:pPr>
      <w:r w:rsidRPr="3C4DAE66">
        <w:rPr>
          <w:b/>
          <w:bCs/>
        </w:rPr>
        <w:t>Disability Interest Group</w:t>
      </w:r>
      <w:bookmarkEnd w:id="138"/>
      <w:r w:rsidR="5DB8B5F1" w:rsidRPr="3C4DAE66">
        <w:rPr>
          <w:b/>
          <w:bCs/>
        </w:rPr>
        <w:t xml:space="preserve"> </w:t>
      </w:r>
      <w:bookmarkEnd w:id="139"/>
      <w:bookmarkEnd w:id="140"/>
      <w:bookmarkEnd w:id="141"/>
    </w:p>
    <w:p w14:paraId="45CE7A3B" w14:textId="462E3056" w:rsidR="3BB661A3" w:rsidRDefault="00467F78" w:rsidP="00467F78">
      <w:pPr>
        <w:rPr>
          <w:rFonts w:ascii="Calibri" w:eastAsia="Calibri" w:hAnsi="Calibri" w:cs="Calibri"/>
        </w:rPr>
      </w:pPr>
      <w:r w:rsidRPr="00467F78">
        <w:rPr>
          <w:rFonts w:ascii="Calibri" w:eastAsia="Calibri" w:hAnsi="Calibri" w:cs="Calibri"/>
        </w:rPr>
        <w:t>The Disability Interest Group (DIG) is for anyone with an interest in disability and provides peer support and information sharing through its email list and topic-based yammer sites on neurodiversity and hidden disabilities. Over the last year, the DIG has been involved with a range of projects to advance disability inclusion at the University, including:</w:t>
      </w:r>
      <w:r w:rsidR="5DB8B5F1" w:rsidRPr="3C4DAE66">
        <w:rPr>
          <w:rFonts w:ascii="Calibri" w:eastAsia="Calibri" w:hAnsi="Calibri" w:cs="Calibri"/>
        </w:rPr>
        <w:t xml:space="preserve"> </w:t>
      </w:r>
    </w:p>
    <w:p w14:paraId="46C368CB" w14:textId="20D5982C" w:rsidR="00467F78" w:rsidRPr="00467F78" w:rsidRDefault="00467F78" w:rsidP="00DC6B4B">
      <w:pPr>
        <w:pStyle w:val="ListParagraph"/>
        <w:numPr>
          <w:ilvl w:val="0"/>
          <w:numId w:val="45"/>
        </w:numPr>
        <w:rPr>
          <w:rFonts w:ascii="Calibri" w:eastAsia="Calibri" w:hAnsi="Calibri" w:cs="Calibri"/>
        </w:rPr>
      </w:pPr>
      <w:r w:rsidRPr="00467F78">
        <w:rPr>
          <w:rFonts w:ascii="Calibri" w:eastAsia="Calibri" w:hAnsi="Calibri" w:cs="Calibri"/>
        </w:rPr>
        <w:t>Working together with the EDI, Wellbeing, and People Services teams to inform projects around enhancing diversity data and provided input into changes to key University policy and procedures.</w:t>
      </w:r>
    </w:p>
    <w:p w14:paraId="211C65D0" w14:textId="77777777" w:rsidR="00467F78" w:rsidRPr="00467F78" w:rsidRDefault="00467F78" w:rsidP="00DC6B4B">
      <w:pPr>
        <w:pStyle w:val="ListParagraph"/>
        <w:numPr>
          <w:ilvl w:val="0"/>
          <w:numId w:val="45"/>
        </w:numPr>
        <w:rPr>
          <w:rFonts w:eastAsiaTheme="minorEastAsia"/>
        </w:rPr>
      </w:pPr>
      <w:r w:rsidRPr="00467F78">
        <w:rPr>
          <w:rFonts w:ascii="Calibri" w:eastAsia="Calibri" w:hAnsi="Calibri" w:cs="Calibri"/>
        </w:rPr>
        <w:t>Working closely with the University’s Disability Advisor to inform disability support at the institution and actively provide advice and signposting to support for colleagues via the Neurodiversity Yammer Group.</w:t>
      </w:r>
    </w:p>
    <w:p w14:paraId="14D62C38" w14:textId="77777777" w:rsidR="00467F78" w:rsidRPr="00467F78" w:rsidRDefault="00467F78" w:rsidP="00DC6B4B">
      <w:pPr>
        <w:pStyle w:val="ListParagraph"/>
        <w:numPr>
          <w:ilvl w:val="0"/>
          <w:numId w:val="45"/>
        </w:numPr>
        <w:rPr>
          <w:rFonts w:eastAsiaTheme="minorEastAsia"/>
        </w:rPr>
      </w:pPr>
      <w:r w:rsidRPr="00467F78">
        <w:rPr>
          <w:rFonts w:ascii="Calibri" w:eastAsia="Calibri" w:hAnsi="Calibri" w:cs="Calibri"/>
        </w:rPr>
        <w:t>Providing advice to colleagues around inclusive communications and supported the University’s application to become Disability Confident Committed.</w:t>
      </w:r>
    </w:p>
    <w:p w14:paraId="58EF5B37" w14:textId="6BD17CDF" w:rsidR="3BB661A3" w:rsidRDefault="00467F78" w:rsidP="00467F78">
      <w:pPr>
        <w:rPr>
          <w:rFonts w:ascii="Calibri" w:eastAsia="Calibri" w:hAnsi="Calibri" w:cs="Calibri"/>
          <w:b/>
          <w:bCs/>
        </w:rPr>
      </w:pPr>
      <w:r w:rsidRPr="00467F78">
        <w:rPr>
          <w:rFonts w:ascii="Calibri" w:eastAsia="Calibri" w:hAnsi="Calibri" w:cs="Calibri"/>
          <w:b/>
          <w:bCs/>
        </w:rPr>
        <w:t>Priorities for 2022-23</w:t>
      </w:r>
      <w:r w:rsidR="5DB8B5F1" w:rsidRPr="00467F78">
        <w:rPr>
          <w:rFonts w:ascii="Calibri" w:eastAsia="Calibri" w:hAnsi="Calibri" w:cs="Calibri"/>
          <w:b/>
          <w:bCs/>
        </w:rPr>
        <w:t xml:space="preserve"> </w:t>
      </w:r>
    </w:p>
    <w:p w14:paraId="68A2D7F6" w14:textId="173D6188" w:rsidR="00467F78" w:rsidRPr="00467F78" w:rsidRDefault="00467F78" w:rsidP="00DC6B4B">
      <w:pPr>
        <w:pStyle w:val="ListParagraph"/>
        <w:numPr>
          <w:ilvl w:val="0"/>
          <w:numId w:val="46"/>
        </w:numPr>
        <w:rPr>
          <w:rFonts w:eastAsiaTheme="minorEastAsia"/>
        </w:rPr>
      </w:pPr>
      <w:r w:rsidRPr="00467F78">
        <w:rPr>
          <w:rFonts w:eastAsiaTheme="minorEastAsia"/>
        </w:rPr>
        <w:t>A communications campaign to increase the members of the DIG Steering Group and also improve engagement with its wider membership.</w:t>
      </w:r>
    </w:p>
    <w:p w14:paraId="4A43EA08" w14:textId="4EB9B41C" w:rsidR="00467F78" w:rsidRPr="00467F78" w:rsidRDefault="00467F78" w:rsidP="00DC6B4B">
      <w:pPr>
        <w:pStyle w:val="ListParagraph"/>
        <w:numPr>
          <w:ilvl w:val="0"/>
          <w:numId w:val="46"/>
        </w:numPr>
        <w:rPr>
          <w:rFonts w:eastAsiaTheme="minorEastAsia"/>
        </w:rPr>
      </w:pPr>
      <w:r w:rsidRPr="00467F78">
        <w:rPr>
          <w:rFonts w:eastAsiaTheme="minorEastAsia"/>
        </w:rPr>
        <w:t>Reviewing the structure of our Steering Group and identifying key areas of focus for new activities.</w:t>
      </w:r>
    </w:p>
    <w:p w14:paraId="5EB0774A" w14:textId="2C85629A" w:rsidR="00467F78" w:rsidRPr="00467F78" w:rsidRDefault="00467F78" w:rsidP="00DC6B4B">
      <w:pPr>
        <w:pStyle w:val="ListParagraph"/>
        <w:numPr>
          <w:ilvl w:val="0"/>
          <w:numId w:val="46"/>
        </w:numPr>
        <w:rPr>
          <w:rFonts w:eastAsiaTheme="minorEastAsia"/>
        </w:rPr>
      </w:pPr>
      <w:r w:rsidRPr="00467F78">
        <w:rPr>
          <w:rFonts w:eastAsiaTheme="minorEastAsia"/>
        </w:rPr>
        <w:t>Exploring opportunities to work more closely with regional disability awareness networks.</w:t>
      </w:r>
    </w:p>
    <w:p w14:paraId="4557DDA3" w14:textId="77777777" w:rsidR="00802F50" w:rsidRDefault="00802F50" w:rsidP="008307D1">
      <w:bookmarkStart w:id="142" w:name="_Toc86832922"/>
      <w:bookmarkStart w:id="143" w:name="_Toc87435090"/>
      <w:bookmarkStart w:id="144" w:name="_Toc87856831"/>
      <w:bookmarkStart w:id="145" w:name="_Toc94185440"/>
    </w:p>
    <w:p w14:paraId="343CADBA" w14:textId="1A298173" w:rsidR="3BB661A3" w:rsidRDefault="22933150" w:rsidP="3C4DAE66">
      <w:pPr>
        <w:pStyle w:val="Heading3"/>
        <w:rPr>
          <w:rFonts w:ascii="Calibri Light" w:eastAsia="Yu Gothic Light" w:hAnsi="Calibri Light" w:cs="Times New Roman"/>
          <w:b/>
          <w:bCs/>
          <w:color w:val="1F3763"/>
        </w:rPr>
      </w:pPr>
      <w:r w:rsidRPr="3C4DAE66">
        <w:rPr>
          <w:b/>
          <w:bCs/>
        </w:rPr>
        <w:t>NU Carers</w:t>
      </w:r>
      <w:bookmarkEnd w:id="142"/>
      <w:bookmarkEnd w:id="143"/>
      <w:bookmarkEnd w:id="144"/>
      <w:bookmarkEnd w:id="145"/>
    </w:p>
    <w:p w14:paraId="4A7C1EB3" w14:textId="4F984ACF" w:rsidR="3BB661A3" w:rsidRDefault="00467F78" w:rsidP="3C4DAE66">
      <w:pPr>
        <w:spacing w:line="257" w:lineRule="auto"/>
        <w:rPr>
          <w:rFonts w:ascii="Calibri" w:eastAsia="Calibri" w:hAnsi="Calibri" w:cs="Calibri"/>
        </w:rPr>
      </w:pPr>
      <w:r w:rsidRPr="00467F78">
        <w:rPr>
          <w:rFonts w:ascii="Calibri" w:eastAsia="Calibri" w:hAnsi="Calibri" w:cs="Calibri"/>
        </w:rPr>
        <w:t>Formed in 2020, NU Carers provides peer support for colleagues and students who have caring responsibilities, fostering a safe forum for them to discuss key issues that impact on our University, academic and employment lives. This year NU Carers has continued to grow, increasing membership and engagement with the wider university community through their first network events and consultation activities on University policies and guidance. Highlights from the year include:</w:t>
      </w:r>
    </w:p>
    <w:p w14:paraId="7DD9D5EB" w14:textId="0E0E9F19" w:rsidR="00467F78" w:rsidRDefault="00467F78" w:rsidP="00DC6B4B">
      <w:pPr>
        <w:pStyle w:val="ListParagraph"/>
        <w:numPr>
          <w:ilvl w:val="0"/>
          <w:numId w:val="47"/>
        </w:numPr>
        <w:spacing w:line="257" w:lineRule="auto"/>
      </w:pPr>
      <w:r>
        <w:lastRenderedPageBreak/>
        <w:t>The new Carers’ Policy, Managers Guide and resources were reviewed by NU Carers to ensure a broad cross section of colleague and student perspectives and experiences were considered.</w:t>
      </w:r>
    </w:p>
    <w:p w14:paraId="207ABEDE" w14:textId="61FA2898" w:rsidR="00467F78" w:rsidRDefault="00467F78" w:rsidP="00DC6B4B">
      <w:pPr>
        <w:pStyle w:val="ListParagraph"/>
        <w:numPr>
          <w:ilvl w:val="0"/>
          <w:numId w:val="47"/>
        </w:numPr>
        <w:spacing w:line="257" w:lineRule="auto"/>
      </w:pPr>
      <w:r>
        <w:t>Organising a public event in collaboration with Northumbria University’s Parent and Carers Group for Carers’ Rights Day, with guest contributions from Newcastle Carers and Gateshead Carers community organisations.</w:t>
      </w:r>
    </w:p>
    <w:p w14:paraId="54F436FE" w14:textId="154ED96E" w:rsidR="00467F78" w:rsidRDefault="00467F78" w:rsidP="00DC6B4B">
      <w:pPr>
        <w:pStyle w:val="ListParagraph"/>
        <w:numPr>
          <w:ilvl w:val="0"/>
          <w:numId w:val="47"/>
        </w:numPr>
        <w:spacing w:line="257" w:lineRule="auto"/>
      </w:pPr>
      <w:r w:rsidRPr="00467F78">
        <w:t>Delivering a series of informal pop-up activities at social spaces across campus for Carers’ Week to connect with colleagues and students about what being a carer means, sharing information and raising awareness.</w:t>
      </w:r>
    </w:p>
    <w:p w14:paraId="0CF80A22" w14:textId="1C3F4267" w:rsidR="00467F78" w:rsidRPr="00467F78" w:rsidRDefault="00467F78" w:rsidP="00467F78">
      <w:pPr>
        <w:spacing w:line="257" w:lineRule="auto"/>
        <w:rPr>
          <w:b/>
          <w:bCs/>
        </w:rPr>
      </w:pPr>
      <w:r w:rsidRPr="00467F78">
        <w:rPr>
          <w:b/>
          <w:bCs/>
        </w:rPr>
        <w:t>Priorities for 2022-23:</w:t>
      </w:r>
    </w:p>
    <w:p w14:paraId="3B240F85" w14:textId="116B849A" w:rsidR="00467F78" w:rsidRDefault="00467F78" w:rsidP="00DC6B4B">
      <w:pPr>
        <w:pStyle w:val="ListParagraph"/>
        <w:numPr>
          <w:ilvl w:val="0"/>
          <w:numId w:val="48"/>
        </w:numPr>
        <w:spacing w:line="257" w:lineRule="auto"/>
      </w:pPr>
      <w:r>
        <w:t>Promoting the self-identifying of carers and growing its membership to offer a fuller representation of caring within the University.</w:t>
      </w:r>
    </w:p>
    <w:p w14:paraId="71743B9A" w14:textId="50FDAA79" w:rsidR="00467F78" w:rsidRDefault="00467F78" w:rsidP="00DC6B4B">
      <w:pPr>
        <w:pStyle w:val="ListParagraph"/>
        <w:numPr>
          <w:ilvl w:val="0"/>
          <w:numId w:val="48"/>
        </w:numPr>
        <w:spacing w:line="257" w:lineRule="auto"/>
      </w:pPr>
      <w:r>
        <w:t>Identifying opportunities for further collaboration and partnership working.</w:t>
      </w:r>
    </w:p>
    <w:p w14:paraId="710D71E4" w14:textId="45186D3A" w:rsidR="00467F78" w:rsidRDefault="00467F78" w:rsidP="00DC6B4B">
      <w:pPr>
        <w:pStyle w:val="ListParagraph"/>
        <w:numPr>
          <w:ilvl w:val="0"/>
          <w:numId w:val="48"/>
        </w:numPr>
        <w:spacing w:line="257" w:lineRule="auto"/>
      </w:pPr>
      <w:r>
        <w:t>Strengthening the Steering Group of the network and developing resources to support member engagement.</w:t>
      </w:r>
    </w:p>
    <w:p w14:paraId="32DEDF8B" w14:textId="77777777" w:rsidR="00802F50" w:rsidRDefault="00802F50" w:rsidP="008307D1">
      <w:bookmarkStart w:id="146" w:name="_Toc87435091"/>
      <w:bookmarkStart w:id="147" w:name="_Toc87856832"/>
      <w:bookmarkStart w:id="148" w:name="_Toc94185441"/>
      <w:bookmarkStart w:id="149" w:name="_Toc86832923"/>
    </w:p>
    <w:p w14:paraId="38FB3BF1" w14:textId="56DE8D48" w:rsidR="3BB661A3" w:rsidRDefault="2C0CEA90" w:rsidP="0EE17C8D">
      <w:pPr>
        <w:pStyle w:val="Heading3"/>
        <w:rPr>
          <w:b/>
          <w:bCs/>
        </w:rPr>
      </w:pPr>
      <w:r w:rsidRPr="0EE17C8D">
        <w:rPr>
          <w:b/>
          <w:bCs/>
        </w:rPr>
        <w:t>NU Parents</w:t>
      </w:r>
      <w:bookmarkEnd w:id="146"/>
      <w:bookmarkEnd w:id="147"/>
      <w:bookmarkEnd w:id="148"/>
      <w:r w:rsidRPr="0EE17C8D">
        <w:rPr>
          <w:b/>
          <w:bCs/>
        </w:rPr>
        <w:t xml:space="preserve"> </w:t>
      </w:r>
      <w:bookmarkEnd w:id="149"/>
    </w:p>
    <w:p w14:paraId="43872FB0" w14:textId="47762A0C" w:rsidR="005F2F27" w:rsidRDefault="00467F78" w:rsidP="005F2F27">
      <w:r w:rsidRPr="00467F78">
        <w:t>NU Parents is a network for Newcastle University colleagues and postgraduate research students who are parents. The group provides networking opportunities for members to share information and offer each other peer support. It is also a forum where members consult on University family friendly policies, procedures and help bring about improvements to the learning and work environment.  Highlights in 2021-22 include</w:t>
      </w:r>
      <w:r w:rsidR="002F0B9B">
        <w:t>:</w:t>
      </w:r>
    </w:p>
    <w:p w14:paraId="0B0F6288" w14:textId="41420539" w:rsidR="00467F78" w:rsidRDefault="00467F78" w:rsidP="00DC6B4B">
      <w:pPr>
        <w:pStyle w:val="ListParagraph"/>
        <w:numPr>
          <w:ilvl w:val="0"/>
          <w:numId w:val="6"/>
        </w:numPr>
      </w:pPr>
      <w:r>
        <w:t>NU Parents, working with Colleague Wellbeing, hosted a workshop that focussed on fathers and the impact of lockdown and considering</w:t>
      </w:r>
      <w:r w:rsidR="00DC6B4B">
        <w:t xml:space="preserve"> </w:t>
      </w:r>
      <w:r>
        <w:t>mental health, and how organisations can help. Speakers Chris Miezitis (Co-Director, Fathers network Scotland) and Jeremy Davies (The Fatherhood Institute) shared their experiences and tips for creating change in the workplace.</w:t>
      </w:r>
    </w:p>
    <w:p w14:paraId="5C602513" w14:textId="4E44C8C8" w:rsidR="00467F78" w:rsidRDefault="00467F78" w:rsidP="00DC6B4B">
      <w:pPr>
        <w:pStyle w:val="ListParagraph"/>
        <w:numPr>
          <w:ilvl w:val="0"/>
          <w:numId w:val="49"/>
        </w:numPr>
      </w:pPr>
      <w:r>
        <w:t>Publishing the first episode of ‘The Parent Club’ Podcast about Secondary to Further and Higher Education.</w:t>
      </w:r>
    </w:p>
    <w:p w14:paraId="6F7B3965" w14:textId="487D6C11" w:rsidR="00467F78" w:rsidRDefault="00467F78" w:rsidP="00DC6B4B">
      <w:pPr>
        <w:pStyle w:val="ListParagraph"/>
        <w:numPr>
          <w:ilvl w:val="0"/>
          <w:numId w:val="49"/>
        </w:numPr>
      </w:pPr>
      <w:r>
        <w:t>Organising a series of informal network social events focussing on transitions in Education such as Preschool to Primary.</w:t>
      </w:r>
    </w:p>
    <w:p w14:paraId="15F456EB" w14:textId="5BA6BAA4" w:rsidR="005F2F27" w:rsidRDefault="00467F78" w:rsidP="00DC6B4B">
      <w:pPr>
        <w:pStyle w:val="ListParagraph"/>
        <w:numPr>
          <w:ilvl w:val="0"/>
          <w:numId w:val="49"/>
        </w:numPr>
      </w:pPr>
      <w:r>
        <w:t>Collaboration with Newcastle’s First Aid Society to offer members First Aid Training and opportunities to network on health and wellbeing topics.</w:t>
      </w:r>
      <w:r w:rsidR="005F2F27">
        <w:t xml:space="preserve"> </w:t>
      </w:r>
    </w:p>
    <w:p w14:paraId="26531AC5" w14:textId="712BD095" w:rsidR="00467F78" w:rsidRPr="00467F78" w:rsidRDefault="00467F78" w:rsidP="00467F78">
      <w:pPr>
        <w:rPr>
          <w:b/>
          <w:bCs/>
        </w:rPr>
      </w:pPr>
      <w:r w:rsidRPr="00467F78">
        <w:rPr>
          <w:b/>
          <w:bCs/>
        </w:rPr>
        <w:t>Priorities for 2022-23</w:t>
      </w:r>
    </w:p>
    <w:p w14:paraId="1C5F4F0D" w14:textId="5AE6D2F9" w:rsidR="00467F78" w:rsidRDefault="00467F78" w:rsidP="00DC6B4B">
      <w:pPr>
        <w:pStyle w:val="ListParagraph"/>
        <w:numPr>
          <w:ilvl w:val="0"/>
          <w:numId w:val="50"/>
        </w:numPr>
      </w:pPr>
      <w:r>
        <w:t>Creating a new Steering Group structure, electing new members to represent the network and co-lead membership activities.</w:t>
      </w:r>
    </w:p>
    <w:p w14:paraId="38EDE335" w14:textId="63E0E425" w:rsidR="00467F78" w:rsidRDefault="00467F78" w:rsidP="00DC6B4B">
      <w:pPr>
        <w:pStyle w:val="ListParagraph"/>
        <w:numPr>
          <w:ilvl w:val="0"/>
          <w:numId w:val="50"/>
        </w:numPr>
      </w:pPr>
      <w:r>
        <w:t>Continuing to grow the network membership and engagement, with particular emphasis on welcoming all parents –focussing in particular on fathers, same sex parents and adoptive parents.</w:t>
      </w:r>
    </w:p>
    <w:p w14:paraId="5293645F" w14:textId="77777777" w:rsidR="00802F50" w:rsidRDefault="00802F50" w:rsidP="008307D1">
      <w:bookmarkStart w:id="150" w:name="_Toc87435092"/>
      <w:bookmarkStart w:id="151" w:name="_Toc87856833"/>
      <w:bookmarkStart w:id="152" w:name="_Toc94185442"/>
      <w:bookmarkStart w:id="153" w:name="_Toc86832924"/>
    </w:p>
    <w:p w14:paraId="726C341C" w14:textId="2B32AFEA" w:rsidR="007E32DA" w:rsidRDefault="1C88453A" w:rsidP="007E32DA">
      <w:pPr>
        <w:pStyle w:val="Heading3"/>
      </w:pPr>
      <w:r w:rsidRPr="0EE17C8D">
        <w:rPr>
          <w:b/>
          <w:bCs/>
        </w:rPr>
        <w:lastRenderedPageBreak/>
        <w:t xml:space="preserve">NU </w:t>
      </w:r>
      <w:r w:rsidR="2AC1E594" w:rsidRPr="0EE17C8D">
        <w:rPr>
          <w:b/>
          <w:bCs/>
        </w:rPr>
        <w:t>REN (</w:t>
      </w:r>
      <w:r w:rsidRPr="0EE17C8D">
        <w:rPr>
          <w:b/>
          <w:bCs/>
        </w:rPr>
        <w:t>Race Equality Network)</w:t>
      </w:r>
      <w:bookmarkEnd w:id="150"/>
      <w:bookmarkEnd w:id="151"/>
      <w:bookmarkEnd w:id="152"/>
      <w:r w:rsidR="441BA386" w:rsidRPr="0EE17C8D">
        <w:rPr>
          <w:b/>
          <w:bCs/>
        </w:rPr>
        <w:t xml:space="preserve"> </w:t>
      </w:r>
      <w:bookmarkEnd w:id="153"/>
    </w:p>
    <w:p w14:paraId="12F48C9C" w14:textId="1ED5ED25" w:rsidR="007E32DA" w:rsidRDefault="00802F50" w:rsidP="007E32DA">
      <w:r w:rsidRPr="00802F50">
        <w:t>The NU Race Equality Network represents and amplifies the voices of all colleagues and postgraduate research students who self-identify as belonging to a minoritised ethnic background. Its focus is on promoting equity and reducing systemic barriers, improving career and development opportunities, and building a sense of community and belonging. Highlights in 2021-22 include:</w:t>
      </w:r>
      <w:r w:rsidR="007E32DA">
        <w:t xml:space="preserve"> </w:t>
      </w:r>
    </w:p>
    <w:p w14:paraId="2F166C8E" w14:textId="494F2DDE" w:rsidR="00802F50" w:rsidRDefault="00802F50" w:rsidP="00DC6B4B">
      <w:pPr>
        <w:pStyle w:val="ListParagraph"/>
        <w:numPr>
          <w:ilvl w:val="0"/>
          <w:numId w:val="51"/>
        </w:numPr>
      </w:pPr>
      <w:r>
        <w:t>Creating a new committee structure and elected a new committee – this has allowed the network to share workload and resources more effectively.</w:t>
      </w:r>
    </w:p>
    <w:p w14:paraId="0A4F5E7A" w14:textId="6A22234B" w:rsidR="00802F50" w:rsidRDefault="00802F50" w:rsidP="00DC6B4B">
      <w:pPr>
        <w:pStyle w:val="ListParagraph"/>
        <w:numPr>
          <w:ilvl w:val="0"/>
          <w:numId w:val="51"/>
        </w:numPr>
      </w:pPr>
      <w:r>
        <w:t>Developing NU-RENs identity and raised awareness through a new logo, new website and producing some branded merchandise for events.</w:t>
      </w:r>
    </w:p>
    <w:p w14:paraId="21E82E76" w14:textId="31B5B06A" w:rsidR="00802F50" w:rsidRDefault="00802F50" w:rsidP="00DC6B4B">
      <w:pPr>
        <w:pStyle w:val="ListParagraph"/>
        <w:numPr>
          <w:ilvl w:val="0"/>
          <w:numId w:val="51"/>
        </w:numPr>
      </w:pPr>
      <w:r>
        <w:t>Supporting the delivery of Inclusive Futures Programme.</w:t>
      </w:r>
    </w:p>
    <w:p w14:paraId="0216F8CF" w14:textId="020CE08A" w:rsidR="007E32DA" w:rsidRDefault="00802F50" w:rsidP="00DC6B4B">
      <w:pPr>
        <w:pStyle w:val="ListParagraph"/>
        <w:numPr>
          <w:ilvl w:val="0"/>
          <w:numId w:val="51"/>
        </w:numPr>
      </w:pPr>
      <w:r>
        <w:t>Organising a Summer Social event for all members, their families and white allies. It was supported by local business Dosa Kitchen and received positive feedback from members.</w:t>
      </w:r>
    </w:p>
    <w:p w14:paraId="5EE58408" w14:textId="1AAFB5CE" w:rsidR="00802F50" w:rsidRDefault="00802F50" w:rsidP="00DC6B4B">
      <w:pPr>
        <w:pStyle w:val="ListParagraph"/>
        <w:numPr>
          <w:ilvl w:val="0"/>
          <w:numId w:val="51"/>
        </w:numPr>
      </w:pPr>
      <w:r>
        <w:t>Supporting the University REC submission and participated in the Self-Assessment Team.</w:t>
      </w:r>
    </w:p>
    <w:p w14:paraId="430ECEB9" w14:textId="6902B468" w:rsidR="00802F50" w:rsidRDefault="00802F50" w:rsidP="00DC6B4B">
      <w:pPr>
        <w:pStyle w:val="ListParagraph"/>
        <w:numPr>
          <w:ilvl w:val="0"/>
          <w:numId w:val="51"/>
        </w:numPr>
      </w:pPr>
      <w:r>
        <w:t xml:space="preserve">Providing contributions to the University Black History Month Steering Group including proposals for project funding to highlight the ‘Black History’ of the University and the </w:t>
      </w:r>
      <w:proofErr w:type="gramStart"/>
      <w:r>
        <w:t>North East</w:t>
      </w:r>
      <w:proofErr w:type="gramEnd"/>
      <w:r>
        <w:t>.</w:t>
      </w:r>
    </w:p>
    <w:p w14:paraId="27CFD98B" w14:textId="3016CB91" w:rsidR="00802F50" w:rsidRPr="00802F50" w:rsidRDefault="00802F50" w:rsidP="00802F50">
      <w:pPr>
        <w:rPr>
          <w:b/>
          <w:bCs/>
        </w:rPr>
      </w:pPr>
      <w:r w:rsidRPr="00802F50">
        <w:rPr>
          <w:b/>
          <w:bCs/>
        </w:rPr>
        <w:t>Priorities for 2022-23</w:t>
      </w:r>
    </w:p>
    <w:p w14:paraId="0CEE2B59" w14:textId="0877B389" w:rsidR="00802F50" w:rsidRDefault="00802F50" w:rsidP="00DC6B4B">
      <w:pPr>
        <w:pStyle w:val="ListParagraph"/>
        <w:numPr>
          <w:ilvl w:val="0"/>
          <w:numId w:val="52"/>
        </w:numPr>
      </w:pPr>
      <w:r>
        <w:t>Delivering a programme of membership events including a range of both CPD and social events.</w:t>
      </w:r>
    </w:p>
    <w:p w14:paraId="2801B612" w14:textId="62D8C3FD" w:rsidR="00802F50" w:rsidRDefault="00802F50" w:rsidP="00DC6B4B">
      <w:pPr>
        <w:pStyle w:val="ListParagraph"/>
        <w:numPr>
          <w:ilvl w:val="0"/>
          <w:numId w:val="52"/>
        </w:numPr>
      </w:pPr>
      <w:r>
        <w:t>Continuing to raise awareness of the Network to colleagues and students and increase membership engagement through activities and events.</w:t>
      </w:r>
    </w:p>
    <w:p w14:paraId="758C3C6F" w14:textId="198456B9" w:rsidR="00802F50" w:rsidRDefault="00802F50" w:rsidP="00DC6B4B">
      <w:pPr>
        <w:pStyle w:val="ListParagraph"/>
        <w:numPr>
          <w:ilvl w:val="0"/>
          <w:numId w:val="52"/>
        </w:numPr>
      </w:pPr>
      <w:r>
        <w:t>Creating opportunities for white allies to join and support the network.</w:t>
      </w:r>
    </w:p>
    <w:p w14:paraId="3BEDEE6E" w14:textId="77777777" w:rsidR="00802F50" w:rsidRDefault="00802F50" w:rsidP="008307D1">
      <w:bookmarkStart w:id="154" w:name="_Toc86832925"/>
      <w:bookmarkStart w:id="155" w:name="_Toc87435093"/>
      <w:bookmarkStart w:id="156" w:name="_Toc87856834"/>
      <w:bookmarkStart w:id="157" w:name="_Toc94185443"/>
    </w:p>
    <w:p w14:paraId="16E481C9" w14:textId="7B7E6B79" w:rsidR="3BB661A3" w:rsidRDefault="44E2FB0F" w:rsidP="3C4DAE66">
      <w:pPr>
        <w:pStyle w:val="Heading3"/>
        <w:rPr>
          <w:rFonts w:ascii="Calibri Light" w:eastAsia="Yu Gothic Light" w:hAnsi="Calibri Light" w:cs="Times New Roman"/>
          <w:b/>
          <w:bCs/>
          <w:color w:val="1F3763"/>
        </w:rPr>
      </w:pPr>
      <w:r w:rsidRPr="3C4DAE66">
        <w:rPr>
          <w:b/>
          <w:bCs/>
        </w:rPr>
        <w:t>NU Women</w:t>
      </w:r>
      <w:bookmarkEnd w:id="154"/>
      <w:bookmarkEnd w:id="155"/>
      <w:bookmarkEnd w:id="156"/>
      <w:bookmarkEnd w:id="157"/>
    </w:p>
    <w:p w14:paraId="4020F670" w14:textId="56A02BDF" w:rsidR="3BB661A3" w:rsidRDefault="00802F50" w:rsidP="3C4DAE66">
      <w:r w:rsidRPr="00802F50">
        <w:t>NU Women is open to all women colleagues and postgraduate research students, as well as male and non-binary allies, at Newcastle University. Some events are women-only. Representatives from the network participate in leadership and strategic committees and groups including the University Athena Swan Self-Assessment Team and Changing the Culture Working Group and Rewards Forum. Activities this year included:</w:t>
      </w:r>
      <w:r w:rsidR="15C03E35">
        <w:t xml:space="preserve"> </w:t>
      </w:r>
    </w:p>
    <w:p w14:paraId="1D7AA38D" w14:textId="30522E1C" w:rsidR="00802F50" w:rsidRDefault="00802F50" w:rsidP="00DC6B4B">
      <w:pPr>
        <w:pStyle w:val="ListParagraph"/>
        <w:numPr>
          <w:ilvl w:val="0"/>
          <w:numId w:val="53"/>
        </w:numPr>
      </w:pPr>
      <w:r>
        <w:t>NU Women Annual Lecture with guest speaker Mary Ann Sieghart, who discussed her book, The Authority Gap.</w:t>
      </w:r>
    </w:p>
    <w:p w14:paraId="48BB8180" w14:textId="1E4C0AE8" w:rsidR="00802F50" w:rsidRDefault="00802F50" w:rsidP="00DC6B4B">
      <w:pPr>
        <w:pStyle w:val="ListParagraph"/>
        <w:numPr>
          <w:ilvl w:val="0"/>
          <w:numId w:val="53"/>
        </w:numPr>
      </w:pPr>
      <w:r>
        <w:t>Weekly writing groups; a zine collecting creative responses to working conditions during the pandemic; a film on the topic of women’s work at the University; and a charity glasses collection drive where we were able to donate over 400 pairs of glasses for Vision Aid Overseas.</w:t>
      </w:r>
    </w:p>
    <w:p w14:paraId="52C0D197" w14:textId="2B9FD22E" w:rsidR="3BB661A3" w:rsidRDefault="00802F50" w:rsidP="00DC6B4B">
      <w:pPr>
        <w:pStyle w:val="ListParagraph"/>
        <w:numPr>
          <w:ilvl w:val="0"/>
          <w:numId w:val="53"/>
        </w:numPr>
      </w:pPr>
      <w:r>
        <w:t xml:space="preserve">A new blended approach to the delivery of 10 events for members with a range of external and internal speakers. A move to record </w:t>
      </w:r>
      <w:r w:rsidRPr="00802F50">
        <w:t>events has also made the work of NU Women more accessible to a wider audience.</w:t>
      </w:r>
    </w:p>
    <w:p w14:paraId="582FD020" w14:textId="355CAD15" w:rsidR="00802F50" w:rsidRDefault="00802F50" w:rsidP="00DC6B4B">
      <w:pPr>
        <w:pStyle w:val="ListParagraph"/>
        <w:numPr>
          <w:ilvl w:val="0"/>
          <w:numId w:val="53"/>
        </w:numPr>
      </w:pPr>
      <w:r>
        <w:t>Regular communications and engagement with members via a newsletter, blog and social media. The mailing list has currently over 1100 subscribers.</w:t>
      </w:r>
    </w:p>
    <w:p w14:paraId="2D4EEC3B" w14:textId="4CA7C7CA" w:rsidR="00802F50" w:rsidRDefault="00802F50" w:rsidP="00DC6B4B">
      <w:pPr>
        <w:pStyle w:val="ListParagraph"/>
        <w:numPr>
          <w:ilvl w:val="0"/>
          <w:numId w:val="53"/>
        </w:numPr>
      </w:pPr>
      <w:r>
        <w:t>NU Women supported four internship opportunities for Newcastle students to enable the Network to organise its many events and activities.</w:t>
      </w:r>
    </w:p>
    <w:p w14:paraId="5BA86593" w14:textId="4AF3A937" w:rsidR="00802F50" w:rsidRPr="00802F50" w:rsidRDefault="00802F50" w:rsidP="00802F50">
      <w:pPr>
        <w:rPr>
          <w:b/>
          <w:bCs/>
        </w:rPr>
      </w:pPr>
      <w:r w:rsidRPr="00802F50">
        <w:rPr>
          <w:b/>
          <w:bCs/>
        </w:rPr>
        <w:t>Priorities for 2022-23</w:t>
      </w:r>
    </w:p>
    <w:p w14:paraId="652D0467" w14:textId="3C20B3F6" w:rsidR="00802F50" w:rsidRPr="00802F50" w:rsidRDefault="00802F50" w:rsidP="00DC6B4B">
      <w:pPr>
        <w:pStyle w:val="Heading3"/>
        <w:numPr>
          <w:ilvl w:val="0"/>
          <w:numId w:val="54"/>
        </w:numPr>
        <w:rPr>
          <w:rFonts w:asciiTheme="minorHAnsi" w:eastAsiaTheme="minorHAnsi" w:hAnsiTheme="minorHAnsi" w:cstheme="minorBidi"/>
          <w:color w:val="auto"/>
          <w:sz w:val="22"/>
          <w:szCs w:val="22"/>
        </w:rPr>
      </w:pPr>
      <w:r w:rsidRPr="00802F50">
        <w:rPr>
          <w:rFonts w:asciiTheme="minorHAnsi" w:eastAsiaTheme="minorHAnsi" w:hAnsiTheme="minorHAnsi" w:cstheme="minorBidi"/>
          <w:color w:val="auto"/>
          <w:sz w:val="22"/>
          <w:szCs w:val="22"/>
        </w:rPr>
        <w:lastRenderedPageBreak/>
        <w:t>Developing the Steering Group to build capacity and enhance the network’s resources.</w:t>
      </w:r>
    </w:p>
    <w:p w14:paraId="0B0ECE32" w14:textId="4563BA71" w:rsidR="00802F50" w:rsidRPr="00802F50" w:rsidRDefault="00802F50" w:rsidP="00DC6B4B">
      <w:pPr>
        <w:pStyle w:val="Heading3"/>
        <w:numPr>
          <w:ilvl w:val="0"/>
          <w:numId w:val="54"/>
        </w:numPr>
        <w:rPr>
          <w:rFonts w:asciiTheme="minorHAnsi" w:eastAsiaTheme="minorHAnsi" w:hAnsiTheme="minorHAnsi" w:cstheme="minorBidi"/>
          <w:color w:val="auto"/>
          <w:sz w:val="22"/>
          <w:szCs w:val="22"/>
        </w:rPr>
      </w:pPr>
      <w:r w:rsidRPr="00802F50">
        <w:rPr>
          <w:rFonts w:asciiTheme="minorHAnsi" w:eastAsiaTheme="minorHAnsi" w:hAnsiTheme="minorHAnsi" w:cstheme="minorBidi"/>
          <w:color w:val="auto"/>
          <w:sz w:val="22"/>
          <w:szCs w:val="22"/>
        </w:rPr>
        <w:t>A focus on networking and/or career-oriented events including women talking to members about their career paths, mixer events, and opportunities career mentoring.</w:t>
      </w:r>
    </w:p>
    <w:p w14:paraId="2EC7A0EB" w14:textId="0BD9244C" w:rsidR="3BB661A3" w:rsidRDefault="00802F50" w:rsidP="00DC6B4B">
      <w:pPr>
        <w:pStyle w:val="Heading3"/>
        <w:numPr>
          <w:ilvl w:val="0"/>
          <w:numId w:val="54"/>
        </w:numPr>
        <w:rPr>
          <w:rFonts w:asciiTheme="minorHAnsi" w:eastAsiaTheme="minorHAnsi" w:hAnsiTheme="minorHAnsi" w:cstheme="minorBidi"/>
          <w:color w:val="auto"/>
          <w:sz w:val="22"/>
          <w:szCs w:val="22"/>
        </w:rPr>
      </w:pPr>
      <w:r w:rsidRPr="00802F50">
        <w:rPr>
          <w:rFonts w:asciiTheme="minorHAnsi" w:eastAsiaTheme="minorHAnsi" w:hAnsiTheme="minorHAnsi" w:cstheme="minorBidi"/>
          <w:color w:val="auto"/>
          <w:sz w:val="22"/>
          <w:szCs w:val="22"/>
        </w:rPr>
        <w:t>Interactive or workshop-style events in response to member feedback.</w:t>
      </w:r>
    </w:p>
    <w:p w14:paraId="24523D98" w14:textId="0211BCBA" w:rsidR="00802F50" w:rsidRDefault="00802F50" w:rsidP="00802F50"/>
    <w:p w14:paraId="69E7F745" w14:textId="3C755FD7" w:rsidR="3BB661A3" w:rsidRDefault="1C88453A" w:rsidP="3C4DAE66">
      <w:pPr>
        <w:pStyle w:val="Heading3"/>
        <w:rPr>
          <w:rFonts w:ascii="Calibri Light" w:eastAsia="Yu Gothic Light" w:hAnsi="Calibri Light" w:cs="Times New Roman"/>
          <w:b/>
          <w:bCs/>
          <w:color w:val="1F3763"/>
        </w:rPr>
      </w:pPr>
      <w:bookmarkStart w:id="158" w:name="_Toc86832926"/>
      <w:bookmarkStart w:id="159" w:name="_Toc87435094"/>
      <w:bookmarkStart w:id="160" w:name="_Toc87856835"/>
      <w:bookmarkStart w:id="161" w:name="_Toc94185444"/>
      <w:r w:rsidRPr="0EE17C8D">
        <w:rPr>
          <w:b/>
          <w:bCs/>
        </w:rPr>
        <w:t>Rainbow</w:t>
      </w:r>
      <w:bookmarkEnd w:id="158"/>
      <w:bookmarkEnd w:id="159"/>
      <w:bookmarkEnd w:id="160"/>
      <w:bookmarkEnd w:id="161"/>
    </w:p>
    <w:p w14:paraId="2EEE02D6" w14:textId="4434238F" w:rsidR="00DC38ED" w:rsidRDefault="00802F50" w:rsidP="006052A8">
      <w:pPr>
        <w:pStyle w:val="xmsolistparagraph"/>
        <w:ind w:left="0"/>
      </w:pPr>
      <w:r w:rsidRPr="00802F50">
        <w:t>Rainbow@NCL is a network of colleagues and postgraduate research students seeking to challenge heteronormativity, support LGBTQ+ students and colleagues, and promote the inclusion of diverse genders, sexualities and relationships. The Rainbow steering group prioritises the support and wellbeing of our LGBTQ+ community at the University. Members have also formed a working group focussed on the University’s Stonewall Workplace Equality Index (WEI) application. Activities this year included:</w:t>
      </w:r>
      <w:r w:rsidR="006052A8">
        <w:t xml:space="preserve"> </w:t>
      </w:r>
    </w:p>
    <w:p w14:paraId="3296637A" w14:textId="77777777" w:rsidR="00DC38ED" w:rsidRDefault="00DC38ED" w:rsidP="006052A8">
      <w:pPr>
        <w:pStyle w:val="xmsolistparagraph"/>
        <w:ind w:left="0"/>
      </w:pPr>
    </w:p>
    <w:p w14:paraId="095D4B12" w14:textId="45F9834C" w:rsidR="00802F50" w:rsidRPr="00802F50" w:rsidRDefault="00802F50" w:rsidP="00DC6B4B">
      <w:pPr>
        <w:pStyle w:val="xmsolistparagraph"/>
        <w:numPr>
          <w:ilvl w:val="0"/>
          <w:numId w:val="55"/>
        </w:numPr>
        <w:rPr>
          <w:rFonts w:eastAsia="Times New Roman"/>
        </w:rPr>
      </w:pPr>
      <w:r w:rsidRPr="00802F50">
        <w:rPr>
          <w:rFonts w:eastAsia="Times New Roman"/>
        </w:rPr>
        <w:t>Growing visibility and engagement on campus through First Friday Coffee, a monthly social event for Rainbow members and the wider university community.</w:t>
      </w:r>
    </w:p>
    <w:p w14:paraId="6AD26051" w14:textId="7DC3756B" w:rsidR="00802F50" w:rsidRPr="00802F50" w:rsidRDefault="00802F50" w:rsidP="00DC6B4B">
      <w:pPr>
        <w:pStyle w:val="xmsolistparagraph"/>
        <w:numPr>
          <w:ilvl w:val="0"/>
          <w:numId w:val="55"/>
        </w:numPr>
        <w:rPr>
          <w:rFonts w:eastAsia="Times New Roman"/>
        </w:rPr>
      </w:pPr>
      <w:r w:rsidRPr="00802F50">
        <w:rPr>
          <w:rFonts w:eastAsia="Times New Roman"/>
        </w:rPr>
        <w:t>Rainbow represented the University LGBTQ+ community, at Newcastle Pride (and UK Pride) for the first time.</w:t>
      </w:r>
    </w:p>
    <w:p w14:paraId="5B0C57E8" w14:textId="610B6209" w:rsidR="00E85524" w:rsidRDefault="00802F50" w:rsidP="00DC6B4B">
      <w:pPr>
        <w:pStyle w:val="xmsolistparagraph"/>
        <w:numPr>
          <w:ilvl w:val="0"/>
          <w:numId w:val="55"/>
        </w:numPr>
        <w:rPr>
          <w:rFonts w:eastAsia="Times New Roman"/>
        </w:rPr>
      </w:pPr>
      <w:r w:rsidRPr="00802F50">
        <w:rPr>
          <w:rFonts w:eastAsia="Times New Roman"/>
        </w:rPr>
        <w:t>Rainbow commissioned two new rainbow flags for our campus and lanyards for colleagues using the new progress pride flag design which includes representation for intersex people.</w:t>
      </w:r>
    </w:p>
    <w:p w14:paraId="163B992C" w14:textId="61D30912" w:rsidR="00802F50" w:rsidRPr="00DC6B4B" w:rsidRDefault="00802F50" w:rsidP="00DC6B4B">
      <w:pPr>
        <w:pStyle w:val="xmsolistparagraph"/>
        <w:numPr>
          <w:ilvl w:val="0"/>
          <w:numId w:val="5"/>
        </w:numPr>
        <w:rPr>
          <w:rFonts w:eastAsia="Times New Roman"/>
        </w:rPr>
      </w:pPr>
      <w:r w:rsidRPr="00DC6B4B">
        <w:rPr>
          <w:rFonts w:eastAsia="Times New Roman"/>
        </w:rPr>
        <w:t>Enhancing opportunities for collaboration between student and colleague LGBTQ+ communities</w:t>
      </w:r>
      <w:r w:rsidR="00DC6B4B" w:rsidRPr="00DC6B4B">
        <w:rPr>
          <w:rFonts w:eastAsia="Times New Roman"/>
        </w:rPr>
        <w:t xml:space="preserve"> </w:t>
      </w:r>
      <w:r w:rsidRPr="00DC6B4B">
        <w:rPr>
          <w:rFonts w:eastAsia="Times New Roman"/>
        </w:rPr>
        <w:t>by developing the relationship between Rainbow and the LGBTQ+ Society.</w:t>
      </w:r>
    </w:p>
    <w:p w14:paraId="076FE3D6" w14:textId="28F60CE9" w:rsidR="00802F50" w:rsidRPr="00802F50" w:rsidRDefault="00802F50" w:rsidP="00DC6B4B">
      <w:pPr>
        <w:pStyle w:val="xmsolistparagraph"/>
        <w:numPr>
          <w:ilvl w:val="0"/>
          <w:numId w:val="55"/>
        </w:numPr>
        <w:rPr>
          <w:rFonts w:eastAsia="Times New Roman"/>
        </w:rPr>
      </w:pPr>
      <w:r w:rsidRPr="00802F50">
        <w:rPr>
          <w:rFonts w:eastAsia="Times New Roman"/>
        </w:rPr>
        <w:t>Producing new resources for allies who wear our NCL Rainbow lanyards.</w:t>
      </w:r>
    </w:p>
    <w:p w14:paraId="0CBCDC19" w14:textId="579525EA" w:rsidR="00802F50" w:rsidRDefault="00802F50" w:rsidP="00DC6B4B">
      <w:pPr>
        <w:pStyle w:val="xmsolistparagraph"/>
        <w:numPr>
          <w:ilvl w:val="0"/>
          <w:numId w:val="55"/>
        </w:numPr>
        <w:rPr>
          <w:rFonts w:eastAsia="Times New Roman"/>
        </w:rPr>
      </w:pPr>
      <w:r w:rsidRPr="00802F50">
        <w:rPr>
          <w:rFonts w:eastAsia="Times New Roman"/>
        </w:rPr>
        <w:t>Consulting on University Family Leave, and Personal Relationships policies.</w:t>
      </w:r>
    </w:p>
    <w:p w14:paraId="21790914" w14:textId="3B5E06CD" w:rsidR="00802F50" w:rsidRDefault="00802F50" w:rsidP="00802F50">
      <w:pPr>
        <w:pStyle w:val="xmsolistparagraph"/>
        <w:ind w:left="0"/>
        <w:rPr>
          <w:rFonts w:eastAsia="Times New Roman"/>
        </w:rPr>
      </w:pPr>
    </w:p>
    <w:p w14:paraId="2137CBB4" w14:textId="5B71B47E" w:rsidR="00802F50" w:rsidRPr="00802F50" w:rsidRDefault="00802F50" w:rsidP="00802F50">
      <w:pPr>
        <w:pStyle w:val="xmsolistparagraph"/>
        <w:ind w:left="0"/>
        <w:rPr>
          <w:rFonts w:eastAsia="Times New Roman"/>
          <w:b/>
          <w:bCs/>
        </w:rPr>
      </w:pPr>
      <w:r w:rsidRPr="00802F50">
        <w:rPr>
          <w:rFonts w:eastAsia="Times New Roman"/>
          <w:b/>
          <w:bCs/>
        </w:rPr>
        <w:t>Priorities for 2022-23:</w:t>
      </w:r>
    </w:p>
    <w:p w14:paraId="4ABD4E4D" w14:textId="77777777" w:rsidR="00802F50" w:rsidRPr="00E85524" w:rsidRDefault="00802F50" w:rsidP="00802F50">
      <w:pPr>
        <w:pStyle w:val="xmsolistparagraph"/>
        <w:ind w:left="0"/>
        <w:rPr>
          <w:rFonts w:eastAsia="Times New Roman"/>
        </w:rPr>
      </w:pPr>
    </w:p>
    <w:p w14:paraId="2254DC51" w14:textId="7B335C27" w:rsidR="00802F50" w:rsidRDefault="00802F50" w:rsidP="00DC6B4B">
      <w:pPr>
        <w:pStyle w:val="ListParagraph"/>
        <w:numPr>
          <w:ilvl w:val="0"/>
          <w:numId w:val="56"/>
        </w:numPr>
      </w:pPr>
      <w:r>
        <w:t>Supporting and co-ordinating the completion of the University’s Workplace Equality Index submission.</w:t>
      </w:r>
    </w:p>
    <w:p w14:paraId="2C94E119" w14:textId="0676AB5F" w:rsidR="00802F50" w:rsidRDefault="00802F50" w:rsidP="00DC6B4B">
      <w:pPr>
        <w:pStyle w:val="ListParagraph"/>
        <w:numPr>
          <w:ilvl w:val="0"/>
          <w:numId w:val="56"/>
        </w:numPr>
      </w:pPr>
      <w:r>
        <w:t>Help create intersectional training opportunities about the appropriate use of inclusive and respectful language across all marginalised characteristics for colleagues and students.</w:t>
      </w:r>
    </w:p>
    <w:p w14:paraId="2E521207" w14:textId="358EFDD8" w:rsidR="3BB661A3" w:rsidRDefault="00802F50" w:rsidP="00DC6B4B">
      <w:pPr>
        <w:pStyle w:val="ListParagraph"/>
        <w:numPr>
          <w:ilvl w:val="0"/>
          <w:numId w:val="56"/>
        </w:numPr>
      </w:pPr>
      <w:r>
        <w:t>Collaborating with local community organisations on activities that help support trans colleagues and students for Trans Awareness Week.</w:t>
      </w:r>
    </w:p>
    <w:p w14:paraId="49AD1013" w14:textId="77777777" w:rsidR="008307D1" w:rsidRDefault="008307D1" w:rsidP="008307D1"/>
    <w:p w14:paraId="26135085" w14:textId="73F04E49" w:rsidR="438C2A76" w:rsidRPr="008533FB" w:rsidRDefault="438C2A76" w:rsidP="0EE17C8D">
      <w:pPr>
        <w:pStyle w:val="Heading3"/>
        <w:rPr>
          <w:rFonts w:ascii="Calibri Light" w:eastAsia="Yu Gothic Light" w:hAnsi="Calibri Light" w:cs="Times New Roman"/>
          <w:b/>
          <w:bCs/>
          <w:color w:val="1F3763"/>
        </w:rPr>
      </w:pPr>
      <w:bookmarkStart w:id="162" w:name="_Toc86832927"/>
      <w:bookmarkStart w:id="163" w:name="_Toc87435095"/>
      <w:bookmarkStart w:id="164" w:name="_Toc87856836"/>
      <w:bookmarkStart w:id="165" w:name="_Toc94185445"/>
      <w:r w:rsidRPr="008533FB">
        <w:rPr>
          <w:b/>
          <w:bCs/>
        </w:rPr>
        <w:t>TechNet</w:t>
      </w:r>
      <w:bookmarkEnd w:id="162"/>
      <w:bookmarkEnd w:id="163"/>
      <w:bookmarkEnd w:id="164"/>
      <w:bookmarkEnd w:id="165"/>
    </w:p>
    <w:p w14:paraId="00ED7357" w14:textId="76AB1DD9" w:rsidR="002C2EF2" w:rsidRDefault="00802F50" w:rsidP="00820159">
      <w:pPr>
        <w:shd w:val="clear" w:color="auto" w:fill="FFFFFF"/>
      </w:pPr>
      <w:r w:rsidRPr="00802F50">
        <w:t>NU TechNet is a network for technical colleagues at Newcastle University. The emphasis is on networking, but NU TechNet also acts as the “technician voice” within the University through its activities. Initiatives to make the technician community more diverse and included within the University continue to be priorities for the Network, and the University has facilitated this approach through supporting the Technician Commitment and action plan. This is reflected in NU TechNet activities and achievements this year including:</w:t>
      </w:r>
    </w:p>
    <w:p w14:paraId="3E79AAB1" w14:textId="07AC8EA2" w:rsidR="00802F50" w:rsidRPr="00802F50" w:rsidRDefault="00802F50" w:rsidP="00DC6B4B">
      <w:pPr>
        <w:pStyle w:val="ListParagraph"/>
        <w:numPr>
          <w:ilvl w:val="0"/>
          <w:numId w:val="57"/>
        </w:numPr>
        <w:rPr>
          <w:rFonts w:ascii="Calibri" w:eastAsia="Times New Roman" w:hAnsi="Calibri" w:cs="Calibri"/>
          <w:color w:val="000000"/>
          <w:shd w:val="clear" w:color="auto" w:fill="FFFFFF"/>
        </w:rPr>
      </w:pPr>
      <w:r w:rsidRPr="00802F50">
        <w:rPr>
          <w:rFonts w:ascii="Calibri" w:eastAsia="Times New Roman" w:hAnsi="Calibri" w:cs="Calibri"/>
          <w:color w:val="000000"/>
          <w:shd w:val="clear" w:color="auto" w:fill="FFFFFF"/>
        </w:rPr>
        <w:t>One of our members won the prestigious Times Higher Education Outstanding Technician of The Year Award in 2021 Technician of the year award in 2021.</w:t>
      </w:r>
    </w:p>
    <w:p w14:paraId="5C961327" w14:textId="4F973379" w:rsidR="00802F50" w:rsidRPr="00802F50" w:rsidRDefault="00802F50" w:rsidP="00DC6B4B">
      <w:pPr>
        <w:pStyle w:val="ListParagraph"/>
        <w:numPr>
          <w:ilvl w:val="0"/>
          <w:numId w:val="57"/>
        </w:numPr>
        <w:rPr>
          <w:rFonts w:ascii="Calibri" w:eastAsia="Times New Roman" w:hAnsi="Calibri" w:cs="Calibri"/>
          <w:color w:val="000000"/>
          <w:shd w:val="clear" w:color="auto" w:fill="FFFFFF"/>
        </w:rPr>
      </w:pPr>
      <w:r w:rsidRPr="00802F50">
        <w:rPr>
          <w:rFonts w:ascii="Calibri" w:eastAsia="Times New Roman" w:hAnsi="Calibri" w:cs="Calibri"/>
          <w:color w:val="000000"/>
          <w:shd w:val="clear" w:color="auto" w:fill="FFFFFF"/>
        </w:rPr>
        <w:t>A cohort of female technicians completed the Research England funded Herschel Programme for female technical leaders or those aspiring to leadership roles.</w:t>
      </w:r>
    </w:p>
    <w:p w14:paraId="6FF85EA5" w14:textId="6AE719F1" w:rsidR="00820159" w:rsidRDefault="00802F50" w:rsidP="00DC6B4B">
      <w:pPr>
        <w:pStyle w:val="ListParagraph"/>
        <w:numPr>
          <w:ilvl w:val="0"/>
          <w:numId w:val="57"/>
        </w:numPr>
      </w:pPr>
      <w:r w:rsidRPr="00802F50">
        <w:rPr>
          <w:rFonts w:ascii="Calibri" w:eastAsia="Times New Roman" w:hAnsi="Calibri" w:cs="Calibri"/>
          <w:color w:val="000000"/>
          <w:shd w:val="clear" w:color="auto" w:fill="FFFFFF"/>
        </w:rPr>
        <w:lastRenderedPageBreak/>
        <w:t>Five new apprenticeship opportunities in the Faculty of Sciences, Agriculture and Engineering.</w:t>
      </w:r>
    </w:p>
    <w:p w14:paraId="6EDB5824" w14:textId="04F34DC1" w:rsidR="00802F50" w:rsidRDefault="00802F50" w:rsidP="00DC6B4B">
      <w:pPr>
        <w:pStyle w:val="ListParagraph"/>
        <w:numPr>
          <w:ilvl w:val="0"/>
          <w:numId w:val="57"/>
        </w:numPr>
      </w:pPr>
      <w:r>
        <w:t>Hosted the UK-wide Technician Partnership Conference 2022 attended by 300 delegates focussing on Net Zero, Research Culture and Technical careers, three themes which cut across all disciplines.</w:t>
      </w:r>
    </w:p>
    <w:p w14:paraId="3EDB2E1C" w14:textId="1AE81F9C" w:rsidR="00802F50" w:rsidRDefault="00802F50" w:rsidP="00DC6B4B">
      <w:pPr>
        <w:pStyle w:val="ListParagraph"/>
        <w:numPr>
          <w:ilvl w:val="0"/>
          <w:numId w:val="57"/>
        </w:numPr>
      </w:pPr>
      <w:r>
        <w:t>Secondment opportunity to the University Skills Academy programme which has helped identify new areas for collaboration through training and professional development.</w:t>
      </w:r>
    </w:p>
    <w:p w14:paraId="3C77BEF1" w14:textId="47816720" w:rsidR="3BB661A3" w:rsidRPr="00802F50" w:rsidRDefault="00802F50" w:rsidP="0081427D">
      <w:pPr>
        <w:rPr>
          <w:b/>
          <w:bCs/>
        </w:rPr>
      </w:pPr>
      <w:r w:rsidRPr="00802F50">
        <w:rPr>
          <w:b/>
          <w:bCs/>
        </w:rPr>
        <w:t>Priorities for 2022-23:</w:t>
      </w:r>
    </w:p>
    <w:p w14:paraId="526FDA55" w14:textId="024B5626" w:rsidR="00802F50" w:rsidRDefault="00802F50" w:rsidP="00DC6B4B">
      <w:pPr>
        <w:pStyle w:val="ListParagraph"/>
        <w:numPr>
          <w:ilvl w:val="0"/>
          <w:numId w:val="58"/>
        </w:numPr>
      </w:pPr>
      <w:r>
        <w:t>Growing the community and develop member engagement through in person meetings and events on campus.</w:t>
      </w:r>
    </w:p>
    <w:p w14:paraId="2817C1AD" w14:textId="57F00246" w:rsidR="00802F50" w:rsidRDefault="00802F50" w:rsidP="00DC6B4B">
      <w:pPr>
        <w:pStyle w:val="ListParagraph"/>
        <w:numPr>
          <w:ilvl w:val="0"/>
          <w:numId w:val="58"/>
        </w:numPr>
      </w:pPr>
      <w:r>
        <w:t>Increasing participation in national initiatives e.g., Technician Commitment and Herschel programme in supporting and local initiatives (e.g., Skills Academy)</w:t>
      </w:r>
    </w:p>
    <w:p w14:paraId="4A5E1B67" w14:textId="5B8DFA20" w:rsidR="00802F50" w:rsidRPr="0081427D" w:rsidRDefault="00802F50" w:rsidP="00DC6B4B">
      <w:pPr>
        <w:pStyle w:val="ListParagraph"/>
        <w:numPr>
          <w:ilvl w:val="0"/>
          <w:numId w:val="58"/>
        </w:numPr>
      </w:pPr>
      <w:r>
        <w:t>Continuing to engage and involve the NU TechNet community in strategic EDI work.</w:t>
      </w:r>
    </w:p>
    <w:p w14:paraId="2290B11E" w14:textId="77777777" w:rsidR="00B16DE9" w:rsidRDefault="00B16DE9" w:rsidP="008307D1">
      <w:bookmarkStart w:id="166" w:name="_Toc86832928"/>
    </w:p>
    <w:p w14:paraId="4C745170" w14:textId="4207067D" w:rsidR="3BB661A3" w:rsidRDefault="3BB661A3" w:rsidP="5021B1A8">
      <w:pPr>
        <w:pStyle w:val="Heading2"/>
        <w:rPr>
          <w:rFonts w:ascii="Calibri Light" w:eastAsia="Yu Gothic Light" w:hAnsi="Calibri Light" w:cs="Times New Roman"/>
          <w:b/>
          <w:bCs/>
        </w:rPr>
      </w:pPr>
      <w:bookmarkStart w:id="167" w:name="_Toc94185446"/>
      <w:r w:rsidRPr="3C4DAE66">
        <w:rPr>
          <w:b/>
          <w:bCs/>
        </w:rPr>
        <w:t>Faith and Spirituality highlights</w:t>
      </w:r>
      <w:bookmarkEnd w:id="166"/>
      <w:bookmarkEnd w:id="167"/>
    </w:p>
    <w:p w14:paraId="28286500" w14:textId="49F45B2E" w:rsidR="00C64200" w:rsidRDefault="00C64200" w:rsidP="00C64200">
      <w:pPr>
        <w:spacing w:line="257" w:lineRule="auto"/>
        <w:rPr>
          <w:rFonts w:ascii="Calibri" w:eastAsia="Calibri" w:hAnsi="Calibri" w:cs="Calibri"/>
        </w:rPr>
      </w:pPr>
      <w:r w:rsidRPr="00C64200">
        <w:rPr>
          <w:rFonts w:ascii="Calibri" w:eastAsia="Calibri" w:hAnsi="Calibri" w:cs="Calibri"/>
        </w:rPr>
        <w:t>Newcastle University plays host to a diverse student and staff community and welcomes students and colleague members of all faiths and none. To aid the student experience and provide more support to colleague members, Newcastle University provides a Chaplaincy service. The Chaplaincy service works within the remit of the Student Health and Wellbeing service. It is available to all students and colleagues, of all faiths and none.</w:t>
      </w:r>
    </w:p>
    <w:p w14:paraId="6C5D629E" w14:textId="6AFE1D5C" w:rsidR="3BB661A3" w:rsidRDefault="00C64200" w:rsidP="00C64200">
      <w:pPr>
        <w:spacing w:line="257" w:lineRule="auto"/>
      </w:pPr>
      <w:r w:rsidRPr="00C64200">
        <w:rPr>
          <w:rFonts w:ascii="Calibri" w:eastAsia="Calibri" w:hAnsi="Calibri" w:cs="Calibri"/>
        </w:rPr>
        <w:t xml:space="preserve">The faith and spirituality activity throughout the year has further contributed to the development of an inclusive, tolerant culture and increasing the representation of underrepresented protected characteristic groups. Highlights include: </w:t>
      </w:r>
      <w:r w:rsidR="3BB661A3" w:rsidRPr="5021B1A8">
        <w:rPr>
          <w:rFonts w:ascii="Calibri" w:eastAsia="Calibri" w:hAnsi="Calibri" w:cs="Calibri"/>
        </w:rPr>
        <w:t xml:space="preserve"> </w:t>
      </w:r>
    </w:p>
    <w:p w14:paraId="48566174" w14:textId="589E7F0E" w:rsidR="00C64200" w:rsidRPr="00C64200" w:rsidRDefault="00C64200" w:rsidP="00DC6B4B">
      <w:pPr>
        <w:pStyle w:val="ListParagraph"/>
        <w:numPr>
          <w:ilvl w:val="0"/>
          <w:numId w:val="59"/>
        </w:numPr>
        <w:rPr>
          <w:rFonts w:ascii="Calibri" w:eastAsia="Calibri" w:hAnsi="Calibri" w:cs="Calibri"/>
        </w:rPr>
      </w:pPr>
      <w:r w:rsidRPr="00C64200">
        <w:rPr>
          <w:rFonts w:ascii="Calibri" w:eastAsia="Calibri" w:hAnsi="Calibri" w:cs="Calibri"/>
        </w:rPr>
        <w:t>Diversifying the Chaplaincy team through recruiting the first Muslim Chaplaincy Lead after a five-year vacancy.</w:t>
      </w:r>
    </w:p>
    <w:p w14:paraId="34E58126" w14:textId="23C9C62E" w:rsidR="00C64200" w:rsidRPr="00C64200" w:rsidRDefault="00C64200" w:rsidP="00DC6B4B">
      <w:pPr>
        <w:pStyle w:val="ListParagraph"/>
        <w:numPr>
          <w:ilvl w:val="0"/>
          <w:numId w:val="59"/>
        </w:numPr>
        <w:rPr>
          <w:rFonts w:ascii="Calibri" w:eastAsia="Calibri" w:hAnsi="Calibri" w:cs="Calibri"/>
        </w:rPr>
      </w:pPr>
      <w:r w:rsidRPr="00C64200">
        <w:rPr>
          <w:rFonts w:ascii="Calibri" w:eastAsia="Calibri" w:hAnsi="Calibri" w:cs="Calibri"/>
        </w:rPr>
        <w:t>Improving visibility of faith support on campus through a renewed Chaplaincy Strategy –through a series of pop-up interactions, intentional presence, Listening Ear sessions and faith events.</w:t>
      </w:r>
    </w:p>
    <w:p w14:paraId="67C953FE" w14:textId="7FED2035" w:rsidR="3BB661A3" w:rsidRPr="00C64200" w:rsidRDefault="00C64200" w:rsidP="00DC6B4B">
      <w:pPr>
        <w:pStyle w:val="ListParagraph"/>
        <w:numPr>
          <w:ilvl w:val="0"/>
          <w:numId w:val="59"/>
        </w:numPr>
        <w:rPr>
          <w:rFonts w:eastAsiaTheme="minorEastAsia"/>
        </w:rPr>
      </w:pPr>
      <w:r w:rsidRPr="00C64200">
        <w:rPr>
          <w:rFonts w:ascii="Calibri" w:eastAsia="Calibri" w:hAnsi="Calibri" w:cs="Calibri"/>
        </w:rPr>
        <w:t xml:space="preserve">Celebrating five different faith festivals across the year, including the first public Menorah Lighting in </w:t>
      </w:r>
      <w:proofErr w:type="gramStart"/>
      <w:r w:rsidRPr="00C64200">
        <w:rPr>
          <w:rFonts w:ascii="Calibri" w:eastAsia="Calibri" w:hAnsi="Calibri" w:cs="Calibri"/>
        </w:rPr>
        <w:t>North East</w:t>
      </w:r>
      <w:proofErr w:type="gramEnd"/>
      <w:r w:rsidRPr="00C64200">
        <w:rPr>
          <w:rFonts w:ascii="Calibri" w:eastAsia="Calibri" w:hAnsi="Calibri" w:cs="Calibri"/>
        </w:rPr>
        <w:t xml:space="preserve"> England for Hanukkah in December 2021, welcoming both colleagues and students</w:t>
      </w:r>
      <w:r w:rsidR="08974507" w:rsidRPr="75C2267E">
        <w:rPr>
          <w:rFonts w:ascii="Calibri" w:eastAsia="Calibri" w:hAnsi="Calibri" w:cs="Calibri"/>
        </w:rPr>
        <w:t>.</w:t>
      </w:r>
      <w:r w:rsidR="3BB661A3" w:rsidRPr="75C2267E">
        <w:rPr>
          <w:rFonts w:ascii="Calibri" w:eastAsia="Calibri" w:hAnsi="Calibri" w:cs="Calibri"/>
        </w:rPr>
        <w:t xml:space="preserve"> </w:t>
      </w:r>
    </w:p>
    <w:p w14:paraId="3302A2F3" w14:textId="741FAB83" w:rsidR="00C64200" w:rsidRPr="00C64200" w:rsidRDefault="00C64200" w:rsidP="00DC6B4B">
      <w:pPr>
        <w:pStyle w:val="ListParagraph"/>
        <w:numPr>
          <w:ilvl w:val="0"/>
          <w:numId w:val="59"/>
        </w:numPr>
        <w:rPr>
          <w:rFonts w:eastAsiaTheme="minorEastAsia"/>
        </w:rPr>
      </w:pPr>
      <w:r w:rsidRPr="00C64200">
        <w:rPr>
          <w:rFonts w:eastAsiaTheme="minorEastAsia"/>
        </w:rPr>
        <w:t>Completing the Sisters’ Entrance at King George VI Prayer Space</w:t>
      </w:r>
    </w:p>
    <w:p w14:paraId="46F98AF0" w14:textId="704731D2" w:rsidR="00C64200" w:rsidRPr="00C64200" w:rsidRDefault="00C64200" w:rsidP="00DC6B4B">
      <w:pPr>
        <w:pStyle w:val="ListParagraph"/>
        <w:numPr>
          <w:ilvl w:val="0"/>
          <w:numId w:val="59"/>
        </w:numPr>
        <w:rPr>
          <w:rFonts w:eastAsiaTheme="minorEastAsia"/>
        </w:rPr>
      </w:pPr>
      <w:r w:rsidRPr="00C64200">
        <w:rPr>
          <w:rFonts w:eastAsiaTheme="minorEastAsia"/>
        </w:rPr>
        <w:t>Publishing a regular Chaplaincy Newsletter with a view to consider a variety of EDI themes, events and provide colleagues with an opportunity to share views on topics that matter to them.</w:t>
      </w:r>
    </w:p>
    <w:p w14:paraId="3E6EEFAA" w14:textId="46C8C506" w:rsidR="3BB661A3" w:rsidRPr="00C64200" w:rsidRDefault="3BB661A3" w:rsidP="0EE17C8D">
      <w:pPr>
        <w:rPr>
          <w:rFonts w:ascii="Calibri Light" w:eastAsia="Yu Gothic Light" w:hAnsi="Calibri Light" w:cs="Times New Roman"/>
          <w:b/>
          <w:bCs/>
          <w:color w:val="1F3763"/>
        </w:rPr>
      </w:pPr>
      <w:r w:rsidRPr="00C64200">
        <w:rPr>
          <w:b/>
          <w:bCs/>
        </w:rPr>
        <w:t>Priorities for 202</w:t>
      </w:r>
      <w:r w:rsidR="00C64200">
        <w:rPr>
          <w:b/>
          <w:bCs/>
        </w:rPr>
        <w:t>2</w:t>
      </w:r>
      <w:r w:rsidRPr="00C64200">
        <w:rPr>
          <w:b/>
          <w:bCs/>
        </w:rPr>
        <w:t>/2</w:t>
      </w:r>
      <w:r w:rsidR="00C64200">
        <w:rPr>
          <w:b/>
          <w:bCs/>
        </w:rPr>
        <w:t>3</w:t>
      </w:r>
    </w:p>
    <w:p w14:paraId="3B3B92E5" w14:textId="0B1633E6" w:rsidR="00C64200" w:rsidRPr="00C64200" w:rsidRDefault="00C64200" w:rsidP="00DC6B4B">
      <w:pPr>
        <w:pStyle w:val="ListParagraph"/>
        <w:numPr>
          <w:ilvl w:val="0"/>
          <w:numId w:val="60"/>
        </w:numPr>
        <w:rPr>
          <w:rFonts w:ascii="Calibri" w:eastAsia="Calibri" w:hAnsi="Calibri" w:cs="Calibri"/>
        </w:rPr>
      </w:pPr>
      <w:r w:rsidRPr="00C64200">
        <w:rPr>
          <w:rFonts w:ascii="Calibri" w:eastAsia="Calibri" w:hAnsi="Calibri" w:cs="Calibri"/>
        </w:rPr>
        <w:t>Further developing Chaplaincy visibility among our university community, of all faiths and none.</w:t>
      </w:r>
    </w:p>
    <w:p w14:paraId="777F3327" w14:textId="2117C989" w:rsidR="00C64200" w:rsidRPr="00C64200" w:rsidRDefault="00C64200" w:rsidP="00DC6B4B">
      <w:pPr>
        <w:pStyle w:val="ListParagraph"/>
        <w:numPr>
          <w:ilvl w:val="0"/>
          <w:numId w:val="60"/>
        </w:numPr>
        <w:rPr>
          <w:rFonts w:ascii="Calibri" w:eastAsia="Calibri" w:hAnsi="Calibri" w:cs="Calibri"/>
        </w:rPr>
      </w:pPr>
      <w:r w:rsidRPr="00C64200">
        <w:rPr>
          <w:rFonts w:ascii="Calibri" w:eastAsia="Calibri" w:hAnsi="Calibri" w:cs="Calibri"/>
        </w:rPr>
        <w:t>Building on colleague engagement with the Chaplaincy Newsletter by integrating its format into a Wellbeing Newsletter and increasing its reach to include all students.</w:t>
      </w:r>
    </w:p>
    <w:p w14:paraId="03BF88B8" w14:textId="1117BE3E" w:rsidR="3C4DAE66" w:rsidRPr="00C64200" w:rsidRDefault="00C64200" w:rsidP="00DC6B4B">
      <w:pPr>
        <w:pStyle w:val="ListParagraph"/>
        <w:numPr>
          <w:ilvl w:val="0"/>
          <w:numId w:val="60"/>
        </w:numPr>
        <w:rPr>
          <w:rFonts w:eastAsiaTheme="minorEastAsia"/>
        </w:rPr>
      </w:pPr>
      <w:r w:rsidRPr="00C64200">
        <w:rPr>
          <w:rFonts w:ascii="Calibri" w:eastAsia="Calibri" w:hAnsi="Calibri" w:cs="Calibri"/>
        </w:rPr>
        <w:t>Enhancing resources for the Chaplaincy team to utilise with the appointment of a new Faith and Spirituality Support Coordinator.</w:t>
      </w:r>
    </w:p>
    <w:p w14:paraId="10FECA43" w14:textId="0AAEBABF" w:rsidR="009B79CC" w:rsidRPr="002821DB" w:rsidRDefault="357CB305" w:rsidP="00DC6B4B">
      <w:pPr>
        <w:pStyle w:val="Heading1"/>
        <w:numPr>
          <w:ilvl w:val="0"/>
          <w:numId w:val="10"/>
        </w:numPr>
        <w:rPr>
          <w:b/>
          <w:bCs/>
        </w:rPr>
      </w:pPr>
      <w:bookmarkStart w:id="168" w:name="_Toc86832929"/>
      <w:bookmarkStart w:id="169" w:name="_Toc94185447"/>
      <w:r w:rsidRPr="3C4DAE66">
        <w:rPr>
          <w:b/>
          <w:bCs/>
        </w:rPr>
        <w:lastRenderedPageBreak/>
        <w:t>W</w:t>
      </w:r>
      <w:r w:rsidR="009D4E84" w:rsidRPr="3C4DAE66">
        <w:rPr>
          <w:b/>
          <w:bCs/>
        </w:rPr>
        <w:t xml:space="preserve">orkforce </w:t>
      </w:r>
      <w:r w:rsidR="1E5ABA49" w:rsidRPr="3C4DAE66">
        <w:rPr>
          <w:b/>
          <w:bCs/>
        </w:rPr>
        <w:t>diversity</w:t>
      </w:r>
      <w:bookmarkEnd w:id="168"/>
      <w:bookmarkEnd w:id="169"/>
    </w:p>
    <w:p w14:paraId="4D486305" w14:textId="77777777" w:rsidR="0095264E" w:rsidRDefault="0095264E" w:rsidP="53766C39">
      <w:pPr>
        <w:spacing w:line="257" w:lineRule="auto"/>
        <w:rPr>
          <w:rStyle w:val="eop"/>
          <w:rFonts w:ascii="Calibri" w:hAnsi="Calibri" w:cs="Calibri"/>
          <w:color w:val="000000"/>
          <w:shd w:val="clear" w:color="auto" w:fill="FFFFFF"/>
        </w:rPr>
      </w:pPr>
    </w:p>
    <w:p w14:paraId="5479E6B3" w14:textId="38707514" w:rsidR="53766C39" w:rsidRDefault="00C64200" w:rsidP="53766C39">
      <w:pPr>
        <w:spacing w:line="257" w:lineRule="auto"/>
        <w:rPr>
          <w:rFonts w:ascii="Calibri" w:eastAsia="Calibri" w:hAnsi="Calibri" w:cs="Calibri"/>
          <w:b/>
          <w:bCs/>
          <w:sz w:val="24"/>
          <w:szCs w:val="24"/>
        </w:rPr>
      </w:pPr>
      <w:r w:rsidRPr="00C64200">
        <w:rPr>
          <w:rStyle w:val="eop"/>
          <w:rFonts w:ascii="Calibri" w:hAnsi="Calibri" w:cs="Calibri"/>
          <w:color w:val="000000"/>
          <w:shd w:val="clear" w:color="auto" w:fill="FFFFFF"/>
        </w:rPr>
        <w:t>Understanding the composition of our workforce in regard to protected characteristics supports us to meet our PSED requirements to eliminate discrimination, advance equality of opportunity and foster good relations. The findings from our data analysis in this section will inform future planning of action to address areas of underrepresentation and gaps in data, which will link to our Equality Objectives.</w:t>
      </w:r>
    </w:p>
    <w:p w14:paraId="2CEE45BD" w14:textId="77777777" w:rsidR="00C64200" w:rsidRDefault="00C64200" w:rsidP="00C64200">
      <w:pPr>
        <w:spacing w:line="257" w:lineRule="auto"/>
        <w:rPr>
          <w:rFonts w:asciiTheme="majorHAnsi" w:eastAsiaTheme="majorEastAsia" w:hAnsiTheme="majorHAnsi" w:cstheme="majorBidi"/>
          <w:b/>
          <w:bCs/>
          <w:color w:val="2F5496" w:themeColor="accent1" w:themeShade="BF"/>
          <w:sz w:val="26"/>
          <w:szCs w:val="26"/>
        </w:rPr>
      </w:pPr>
      <w:bookmarkStart w:id="170" w:name="Datastatement"/>
      <w:bookmarkEnd w:id="170"/>
      <w:r w:rsidRPr="00C64200">
        <w:rPr>
          <w:rFonts w:asciiTheme="majorHAnsi" w:eastAsiaTheme="majorEastAsia" w:hAnsiTheme="majorHAnsi" w:cstheme="majorBidi"/>
          <w:b/>
          <w:bCs/>
          <w:color w:val="2F5496" w:themeColor="accent1" w:themeShade="BF"/>
          <w:sz w:val="26"/>
          <w:szCs w:val="26"/>
        </w:rPr>
        <w:t>Data statement for workforce diversity and pay gaps sections</w:t>
      </w:r>
    </w:p>
    <w:p w14:paraId="20800A10" w14:textId="6F12D529" w:rsidR="0095264E" w:rsidRDefault="0095264E" w:rsidP="00DC6B4B">
      <w:pPr>
        <w:pStyle w:val="ListParagraph"/>
        <w:numPr>
          <w:ilvl w:val="0"/>
          <w:numId w:val="61"/>
        </w:numPr>
        <w:spacing w:after="200" w:line="240" w:lineRule="auto"/>
      </w:pPr>
      <w:r>
        <w:t>The data for section 4 (workforce diversity) are taken from a snapshot of all regular employees based in the UK on 31st July 2022 (which covers the period 1st August 2021 to 31st July 2022). This date was chosen to align with annual HESA returns.</w:t>
      </w:r>
    </w:p>
    <w:p w14:paraId="6B0ED6EF" w14:textId="4D6B42D6" w:rsidR="0095264E" w:rsidRDefault="0095264E" w:rsidP="00DC6B4B">
      <w:pPr>
        <w:pStyle w:val="ListParagraph"/>
        <w:numPr>
          <w:ilvl w:val="0"/>
          <w:numId w:val="61"/>
        </w:numPr>
        <w:spacing w:after="200" w:line="240" w:lineRule="auto"/>
      </w:pPr>
      <w:r>
        <w:t>For our Gender Pay Gap Report (section 5), we report on the period 1st April 2021 to 31st March 2022, with our pay gap figures calculated using a snapshot of all eligible employees on 31st March 2022. This is the statutory reporting period set by the UK Government.</w:t>
      </w:r>
    </w:p>
    <w:p w14:paraId="335887D6" w14:textId="5C0AF984" w:rsidR="0095264E" w:rsidRDefault="0095264E" w:rsidP="00DC6B4B">
      <w:pPr>
        <w:pStyle w:val="ListParagraph"/>
        <w:numPr>
          <w:ilvl w:val="0"/>
          <w:numId w:val="61"/>
        </w:numPr>
        <w:spacing w:after="200" w:line="240" w:lineRule="auto"/>
      </w:pPr>
      <w:r>
        <w:t>We employ more than 6000 colleagues across a range of occupations, including front line operational roles, technical support, central services, and academic colleagues.</w:t>
      </w:r>
    </w:p>
    <w:p w14:paraId="4D84804B" w14:textId="77777777" w:rsidR="0095264E" w:rsidRPr="0095264E" w:rsidRDefault="0095264E" w:rsidP="00DC6B4B">
      <w:pPr>
        <w:pStyle w:val="ListParagraph"/>
        <w:numPr>
          <w:ilvl w:val="0"/>
          <w:numId w:val="61"/>
        </w:numPr>
        <w:spacing w:after="200" w:line="240" w:lineRule="auto"/>
        <w:rPr>
          <w:rFonts w:eastAsiaTheme="minorEastAsia"/>
          <w:color w:val="000000" w:themeColor="text1"/>
        </w:rPr>
      </w:pPr>
      <w:r>
        <w:t>Our colleagues can be broadly split into two major occupational groupings –academic colleagues and PS colleagues. For some analyses, where numbers allow, we further split academics into contract types of Teaching and Scholarship (T&amp;S), Teaching and Research (T&amp;R) and Research and Innovation (R&amp;I), or clinical and non-clinical.</w:t>
      </w:r>
    </w:p>
    <w:p w14:paraId="018D3267" w14:textId="4FFEDEBA" w:rsidR="0095264E" w:rsidRPr="0095264E" w:rsidRDefault="006C2B94" w:rsidP="00DC6B4B">
      <w:pPr>
        <w:pStyle w:val="ListParagraph"/>
        <w:numPr>
          <w:ilvl w:val="0"/>
          <w:numId w:val="61"/>
        </w:numPr>
        <w:spacing w:after="200" w:line="240" w:lineRule="auto"/>
        <w:rPr>
          <w:rFonts w:ascii="Calibri" w:eastAsia="Calibri" w:hAnsi="Calibri" w:cs="Calibri"/>
          <w:color w:val="000000" w:themeColor="text1"/>
        </w:rPr>
      </w:pPr>
      <w:r w:rsidRPr="0EFFAC96">
        <w:rPr>
          <w:rFonts w:ascii="Calibri" w:eastAsia="Calibri" w:hAnsi="Calibri" w:cs="Calibri"/>
          <w:color w:val="000000" w:themeColor="text1"/>
        </w:rPr>
        <w:t xml:space="preserve"> </w:t>
      </w:r>
      <w:r w:rsidR="0095264E" w:rsidRPr="0095264E">
        <w:rPr>
          <w:rFonts w:ascii="Calibri" w:eastAsia="Calibri" w:hAnsi="Calibri" w:cs="Calibri"/>
          <w:color w:val="000000" w:themeColor="text1"/>
        </w:rPr>
        <w:t>Following feedback in 2021, where possible, numbers are included in the data tables in the appendices section.</w:t>
      </w:r>
    </w:p>
    <w:p w14:paraId="20D34FAB" w14:textId="1EC4D7CD" w:rsidR="0095264E" w:rsidRPr="0095264E" w:rsidRDefault="0095264E" w:rsidP="00DC6B4B">
      <w:pPr>
        <w:pStyle w:val="ListParagraph"/>
        <w:numPr>
          <w:ilvl w:val="0"/>
          <w:numId w:val="61"/>
        </w:numPr>
        <w:spacing w:after="200" w:line="240" w:lineRule="auto"/>
        <w:rPr>
          <w:rFonts w:ascii="Calibri" w:eastAsia="Calibri" w:hAnsi="Calibri" w:cs="Calibri"/>
          <w:color w:val="000000" w:themeColor="text1"/>
        </w:rPr>
      </w:pPr>
      <w:r w:rsidRPr="0095264E">
        <w:rPr>
          <w:rFonts w:ascii="Calibri" w:eastAsia="Calibri" w:hAnsi="Calibri" w:cs="Calibri"/>
          <w:color w:val="000000" w:themeColor="text1"/>
        </w:rPr>
        <w:t>Our grading structure starts at grade A for PS colleagues and grade E for academic colleagues and progresses to IB for both. We have some colleagues who are on grades outside our grading structure. Where possible, we have mapped these individuals to our grading structure based on equivalent pay and position to facilitate analysis.</w:t>
      </w:r>
    </w:p>
    <w:p w14:paraId="63895721" w14:textId="2FD31D08" w:rsidR="0095264E" w:rsidRPr="001D1E7C" w:rsidRDefault="0095264E" w:rsidP="00DC6B4B">
      <w:pPr>
        <w:pStyle w:val="ListParagraph"/>
        <w:numPr>
          <w:ilvl w:val="0"/>
          <w:numId w:val="61"/>
        </w:numPr>
        <w:spacing w:after="200" w:line="240" w:lineRule="auto"/>
        <w:rPr>
          <w:rFonts w:ascii="Calibri" w:eastAsia="Calibri" w:hAnsi="Calibri" w:cs="Calibri"/>
          <w:color w:val="000000" w:themeColor="text1"/>
        </w:rPr>
      </w:pPr>
      <w:r w:rsidRPr="001D1E7C">
        <w:rPr>
          <w:rFonts w:ascii="Calibri" w:eastAsia="Calibri" w:hAnsi="Calibri" w:cs="Calibri"/>
          <w:color w:val="000000" w:themeColor="text1"/>
        </w:rPr>
        <w:t>We report on data pertaining to colleagues’ sex (female/male) rather than their gender (e.g., man/woman/non-binary) as this</w:t>
      </w:r>
      <w:r w:rsidR="001D1E7C" w:rsidRPr="001D1E7C">
        <w:rPr>
          <w:rFonts w:ascii="Calibri" w:eastAsia="Calibri" w:hAnsi="Calibri" w:cs="Calibri"/>
          <w:color w:val="000000" w:themeColor="text1"/>
        </w:rPr>
        <w:t xml:space="preserve"> </w:t>
      </w:r>
      <w:r w:rsidRPr="001D1E7C">
        <w:rPr>
          <w:rFonts w:ascii="Calibri" w:eastAsia="Calibri" w:hAnsi="Calibri" w:cs="Calibri"/>
          <w:color w:val="000000" w:themeColor="text1"/>
        </w:rPr>
        <w:t>is what the University currently collects from colleagues. Therefore, we use the language of female/male colleagues to describe our sex data in this report. We recognise sex does not equate with gender and that gender is not binary, and we aspire to enhance our data collection and reporting on gender data in the future.</w:t>
      </w:r>
    </w:p>
    <w:p w14:paraId="0E0C6545" w14:textId="40975DFF" w:rsidR="00B56ED7" w:rsidRPr="001D1E7C" w:rsidRDefault="0095264E" w:rsidP="00DC6B4B">
      <w:pPr>
        <w:pStyle w:val="ListParagraph"/>
        <w:numPr>
          <w:ilvl w:val="0"/>
          <w:numId w:val="61"/>
        </w:numPr>
        <w:spacing w:after="200" w:line="240" w:lineRule="auto"/>
        <w:rPr>
          <w:rFonts w:eastAsiaTheme="minorEastAsia"/>
          <w:color w:val="000000" w:themeColor="text1"/>
        </w:rPr>
      </w:pPr>
      <w:r w:rsidRPr="001D1E7C">
        <w:rPr>
          <w:rFonts w:ascii="Calibri" w:eastAsia="Calibri" w:hAnsi="Calibri" w:cs="Calibri"/>
          <w:color w:val="000000" w:themeColor="text1"/>
        </w:rPr>
        <w:t xml:space="preserve">In regard to ethnicity, within our workforce diversity section (4) we report on mid-level combined ethnic categories where numbers allow (see Appendix 1 for the categories). Additionally, and where numbers are too small for more granular analysis, we aggregate all colleagues who identified as being from an ethnicity other than white into the grouping ‘minoritised ethnic backgrounds.’ It should be noted that we do not currently have a category for white minority/other white backgrounds in our system, so colleagues who identify as being from a minoritised white background may have identified as ‘other ethnicity’, which has been included in the grouping ‘minoritised ethnic backgrounds’ or may have identified as white and be included in the white grouping. We recognise the limitations of an assumption that minority ethnic colleagues are a homogenous group, but our approach, as we nuance it further with time, will allow us to identify patterns of marginalisation relating to ethnicity. In our pay gap report, we combine all colleagues who have identified as being from minoritised ethnic backgrounds and compare with those who have identified as white. In future years, we aspire to use more granular ethnicity categories to analyse and report on our pay gaps.  </w:t>
      </w:r>
    </w:p>
    <w:p w14:paraId="4D9E14D2" w14:textId="254C14DA" w:rsidR="001D1E7C" w:rsidRDefault="001D1E7C" w:rsidP="00DC6B4B">
      <w:pPr>
        <w:pStyle w:val="ListParagraph"/>
        <w:numPr>
          <w:ilvl w:val="0"/>
          <w:numId w:val="61"/>
        </w:numPr>
        <w:spacing w:after="200" w:line="240" w:lineRule="auto"/>
        <w:rPr>
          <w:rFonts w:eastAsiaTheme="minorEastAsia"/>
          <w:color w:val="000000" w:themeColor="text1"/>
        </w:rPr>
      </w:pPr>
      <w:r w:rsidRPr="001D1E7C">
        <w:rPr>
          <w:rFonts w:eastAsiaTheme="minorEastAsia"/>
          <w:color w:val="000000" w:themeColor="text1"/>
        </w:rPr>
        <w:t>We are conscious of the limitations of our</w:t>
      </w:r>
      <w:r>
        <w:rPr>
          <w:rFonts w:eastAsiaTheme="minorEastAsia"/>
          <w:color w:val="000000" w:themeColor="text1"/>
        </w:rPr>
        <w:t xml:space="preserve"> </w:t>
      </w:r>
      <w:r w:rsidRPr="001D1E7C">
        <w:rPr>
          <w:rFonts w:eastAsiaTheme="minorEastAsia"/>
          <w:color w:val="000000" w:themeColor="text1"/>
        </w:rPr>
        <w:t>data regarding disability, for which we believe disclosure is low and therefore does not represent all our colleagues with a disability.</w:t>
      </w:r>
    </w:p>
    <w:p w14:paraId="25F081D1" w14:textId="0F1CA7B9" w:rsidR="001D1E7C" w:rsidRPr="001D1E7C" w:rsidRDefault="001D1E7C" w:rsidP="00DC6B4B">
      <w:pPr>
        <w:pStyle w:val="ListParagraph"/>
        <w:numPr>
          <w:ilvl w:val="0"/>
          <w:numId w:val="61"/>
        </w:numPr>
        <w:spacing w:after="200" w:line="240" w:lineRule="auto"/>
        <w:rPr>
          <w:rFonts w:eastAsiaTheme="minorEastAsia"/>
          <w:color w:val="000000" w:themeColor="text1"/>
        </w:rPr>
      </w:pPr>
      <w:r w:rsidRPr="001D1E7C">
        <w:rPr>
          <w:rFonts w:eastAsiaTheme="minorEastAsia"/>
          <w:color w:val="000000" w:themeColor="text1"/>
        </w:rPr>
        <w:lastRenderedPageBreak/>
        <w:t xml:space="preserve">From 2022 onwards we can distinguish between “Prefer not to say” and “No response provided” for the </w:t>
      </w:r>
      <w:proofErr w:type="gramStart"/>
      <w:r w:rsidRPr="001D1E7C">
        <w:rPr>
          <w:rFonts w:eastAsiaTheme="minorEastAsia"/>
          <w:color w:val="000000" w:themeColor="text1"/>
        </w:rPr>
        <w:t>characteristics</w:t>
      </w:r>
      <w:proofErr w:type="gramEnd"/>
      <w:r w:rsidRPr="001D1E7C">
        <w:rPr>
          <w:rFonts w:eastAsiaTheme="minorEastAsia"/>
          <w:color w:val="000000" w:themeColor="text1"/>
        </w:rPr>
        <w:t xml:space="preserve"> ethnicity and disability. In previous years these responses from these two categories were combined. For all other characteristics (except age and sex for which we have complete datasets), analysis prior to 2022 was already performed separately for colleagues who decided not to provide a response rather than aggregating them into another category or removing them from the data.</w:t>
      </w:r>
    </w:p>
    <w:p w14:paraId="16B10279" w14:textId="679BD0E0" w:rsidR="001D1E7C" w:rsidRPr="001D1E7C" w:rsidRDefault="001D1E7C" w:rsidP="00DC6B4B">
      <w:pPr>
        <w:pStyle w:val="ListParagraph"/>
        <w:numPr>
          <w:ilvl w:val="0"/>
          <w:numId w:val="61"/>
        </w:numPr>
        <w:spacing w:after="200" w:line="240" w:lineRule="auto"/>
        <w:rPr>
          <w:rFonts w:eastAsiaTheme="minorEastAsia"/>
          <w:color w:val="000000" w:themeColor="text1"/>
        </w:rPr>
      </w:pPr>
      <w:r w:rsidRPr="001D1E7C">
        <w:rPr>
          <w:rFonts w:eastAsiaTheme="minorEastAsia"/>
          <w:color w:val="000000" w:themeColor="text1"/>
        </w:rPr>
        <w:t xml:space="preserve">Where appropriate, we use benchmarking data to compare our position to the HE </w:t>
      </w:r>
      <w:proofErr w:type="gramStart"/>
      <w:r w:rsidRPr="001D1E7C">
        <w:rPr>
          <w:rFonts w:eastAsiaTheme="minorEastAsia"/>
          <w:color w:val="000000" w:themeColor="text1"/>
        </w:rPr>
        <w:t>sector</w:t>
      </w:r>
      <w:proofErr w:type="gramEnd"/>
      <w:r w:rsidRPr="001D1E7C">
        <w:rPr>
          <w:rFonts w:eastAsiaTheme="minorEastAsia"/>
          <w:color w:val="000000" w:themeColor="text1"/>
        </w:rPr>
        <w:t xml:space="preserve"> as a whole drawn from Advance HE’s 2022 Equality in Higher Education Statistical Report</w:t>
      </w:r>
      <w:r>
        <w:rPr>
          <w:rStyle w:val="FootnoteReference"/>
          <w:rFonts w:eastAsiaTheme="minorEastAsia"/>
          <w:color w:val="000000" w:themeColor="text1"/>
        </w:rPr>
        <w:footnoteReference w:id="1"/>
      </w:r>
      <w:r w:rsidRPr="001D1E7C">
        <w:rPr>
          <w:rFonts w:eastAsiaTheme="minorEastAsia"/>
          <w:color w:val="000000" w:themeColor="text1"/>
        </w:rPr>
        <w:t>.</w:t>
      </w:r>
    </w:p>
    <w:p w14:paraId="1FB8A3BE" w14:textId="5FBB90E0" w:rsidR="001D1E7C" w:rsidRPr="001D1E7C" w:rsidRDefault="001D1E7C" w:rsidP="00DC6B4B">
      <w:pPr>
        <w:pStyle w:val="ListParagraph"/>
        <w:numPr>
          <w:ilvl w:val="0"/>
          <w:numId w:val="61"/>
        </w:numPr>
        <w:spacing w:after="200" w:line="240" w:lineRule="auto"/>
        <w:rPr>
          <w:rFonts w:eastAsiaTheme="minorEastAsia"/>
          <w:color w:val="000000" w:themeColor="text1"/>
        </w:rPr>
      </w:pPr>
      <w:r w:rsidRPr="001D1E7C">
        <w:rPr>
          <w:rFonts w:eastAsiaTheme="minorEastAsia"/>
          <w:color w:val="000000" w:themeColor="text1"/>
        </w:rPr>
        <w:t>Within the figures and appendices ‘…’ represents a percentage calculated on a population of between 0 and 5 inclusive. These numbers and percentages have been suppressed to protect against over-interpretation of small numbers.</w:t>
      </w:r>
    </w:p>
    <w:p w14:paraId="72C8C835" w14:textId="727EFD9D" w:rsidR="001D1E7C" w:rsidRPr="00B56ED7" w:rsidRDefault="001D1E7C" w:rsidP="00DC6B4B">
      <w:pPr>
        <w:pStyle w:val="ListParagraph"/>
        <w:numPr>
          <w:ilvl w:val="0"/>
          <w:numId w:val="61"/>
        </w:numPr>
        <w:spacing w:after="200" w:line="240" w:lineRule="auto"/>
        <w:rPr>
          <w:rFonts w:eastAsiaTheme="minorEastAsia"/>
          <w:color w:val="000000" w:themeColor="text1"/>
        </w:rPr>
      </w:pPr>
      <w:r w:rsidRPr="001D1E7C">
        <w:rPr>
          <w:rFonts w:eastAsiaTheme="minorEastAsia"/>
          <w:color w:val="000000" w:themeColor="text1"/>
        </w:rPr>
        <w:t>For our overall pay gap calculations, we include all colleagues in our snapshot.</w:t>
      </w:r>
    </w:p>
    <w:p w14:paraId="5934F56A" w14:textId="07425F0E" w:rsidR="008341D9" w:rsidRPr="006C2B94" w:rsidRDefault="008341D9" w:rsidP="00874656">
      <w:pPr>
        <w:pStyle w:val="ListParagraph"/>
        <w:spacing w:after="200" w:line="240" w:lineRule="auto"/>
        <w:rPr>
          <w:rFonts w:eastAsiaTheme="minorEastAsia"/>
          <w:color w:val="000000" w:themeColor="text1"/>
        </w:rPr>
      </w:pPr>
    </w:p>
    <w:p w14:paraId="5A29CF5D" w14:textId="4DE45C89" w:rsidR="71DF1E09" w:rsidRDefault="71DF1E09" w:rsidP="53766C39">
      <w:pPr>
        <w:pStyle w:val="Heading2"/>
        <w:rPr>
          <w:rFonts w:ascii="Calibri Light" w:hAnsi="Calibri Light"/>
          <w:b/>
          <w:bCs/>
        </w:rPr>
      </w:pPr>
      <w:bookmarkStart w:id="171" w:name="_Toc86832931"/>
      <w:bookmarkStart w:id="172" w:name="_Toc94185449"/>
      <w:r w:rsidRPr="53766C39">
        <w:rPr>
          <w:b/>
          <w:bCs/>
        </w:rPr>
        <w:t>Age</w:t>
      </w:r>
      <w:bookmarkEnd w:id="171"/>
      <w:bookmarkEnd w:id="172"/>
    </w:p>
    <w:p w14:paraId="32E663A1" w14:textId="77777777" w:rsidR="001D1E7C" w:rsidRDefault="001D1E7C" w:rsidP="001D1E7C">
      <w:r>
        <w:t xml:space="preserve">Based on the 2022 snapshot date, the largest age band represented in our workforce is 41-45- years old, (14.7%). This is closely followed by 36–40-year-olds (14.6%) and 31-35- years-old (14.5%). The smallest age band represented in our workforce was those 66 years-old and older (2.4%), followed by those 25 years-old and younger (3.6%). </w:t>
      </w:r>
    </w:p>
    <w:p w14:paraId="5B1AEA79" w14:textId="1B3A223E" w:rsidR="001D1E7C" w:rsidRDefault="001D1E7C" w:rsidP="001D1E7C">
      <w:r>
        <w:t>In relation to academic colleagues, the largest age band was 31-35 (16.6%) and the smallest was 25 and under (1.0%). Across PS, the largest age band was slightly older at 41-45 (13.7%), with the smallest age band 66 and older (1.6%).</w:t>
      </w:r>
    </w:p>
    <w:p w14:paraId="0051F732" w14:textId="69E3D80C" w:rsidR="00DE4943" w:rsidRPr="00AD14BB" w:rsidRDefault="00EC3A19" w:rsidP="001D1E7C">
      <w:pPr>
        <w:rPr>
          <w:b/>
          <w:bCs/>
        </w:rPr>
      </w:pPr>
      <w:r>
        <w:rPr>
          <w:b/>
          <w:bCs/>
        </w:rPr>
        <w:t>Table</w:t>
      </w:r>
      <w:r w:rsidR="00F51CE0">
        <w:rPr>
          <w:b/>
          <w:bCs/>
        </w:rPr>
        <w:t xml:space="preserve">: </w:t>
      </w:r>
      <w:r w:rsidR="00DE4943" w:rsidRPr="00AD14BB">
        <w:rPr>
          <w:b/>
          <w:bCs/>
        </w:rPr>
        <w:t>Age profile of all colleagues</w:t>
      </w:r>
      <w:r w:rsidR="004E63FC">
        <w:rPr>
          <w:b/>
          <w:bCs/>
        </w:rPr>
        <w:t>,</w:t>
      </w:r>
      <w:r>
        <w:rPr>
          <w:b/>
          <w:bCs/>
        </w:rPr>
        <w:t xml:space="preserve"> </w:t>
      </w:r>
      <w:r w:rsidR="00C05739" w:rsidRPr="00AD14BB">
        <w:rPr>
          <w:b/>
          <w:bCs/>
        </w:rPr>
        <w:t>202</w:t>
      </w:r>
      <w:r w:rsidR="001D1E7C">
        <w:rPr>
          <w:b/>
          <w:bCs/>
        </w:rPr>
        <w:t>2</w:t>
      </w:r>
      <w:r w:rsidR="004E63FC">
        <w:rPr>
          <w:b/>
          <w:bCs/>
        </w:rPr>
        <w:t>.</w:t>
      </w:r>
    </w:p>
    <w:tbl>
      <w:tblPr>
        <w:tblStyle w:val="TableGrid"/>
        <w:tblW w:w="9130" w:type="dxa"/>
        <w:tblLook w:val="04A0" w:firstRow="1" w:lastRow="0" w:firstColumn="1" w:lastColumn="0" w:noHBand="0" w:noVBand="1"/>
      </w:tblPr>
      <w:tblGrid>
        <w:gridCol w:w="952"/>
        <w:gridCol w:w="659"/>
        <w:gridCol w:w="859"/>
        <w:gridCol w:w="764"/>
        <w:gridCol w:w="769"/>
        <w:gridCol w:w="769"/>
        <w:gridCol w:w="769"/>
        <w:gridCol w:w="769"/>
        <w:gridCol w:w="769"/>
        <w:gridCol w:w="734"/>
        <w:gridCol w:w="659"/>
        <w:gridCol w:w="818"/>
      </w:tblGrid>
      <w:tr w:rsidR="00D53748" w:rsidRPr="001D1E7C" w14:paraId="1D4DED7C" w14:textId="77777777" w:rsidTr="00D53748">
        <w:trPr>
          <w:trHeight w:val="271"/>
        </w:trPr>
        <w:tc>
          <w:tcPr>
            <w:tcW w:w="890" w:type="dxa"/>
            <w:noWrap/>
            <w:hideMark/>
          </w:tcPr>
          <w:p w14:paraId="50DE92A9" w14:textId="5CA5E3F0" w:rsidR="005A7DD0" w:rsidRPr="00B62C17" w:rsidRDefault="00F51CE0" w:rsidP="00D53748">
            <w:pPr>
              <w:jc w:val="center"/>
              <w:rPr>
                <w:rFonts w:ascii="Calibri" w:eastAsia="Times New Roman" w:hAnsi="Calibri" w:cs="Calibri"/>
                <w:b/>
                <w:bCs/>
                <w:lang w:eastAsia="en-GB"/>
              </w:rPr>
            </w:pPr>
            <w:r w:rsidRPr="00B62C17">
              <w:rPr>
                <w:rFonts w:ascii="Calibri" w:eastAsia="Times New Roman" w:hAnsi="Calibri" w:cs="Calibri"/>
                <w:b/>
                <w:bCs/>
                <w:lang w:eastAsia="en-GB"/>
              </w:rPr>
              <w:t>Age</w:t>
            </w:r>
            <w:r w:rsidR="0032213D" w:rsidRPr="00B62C17">
              <w:rPr>
                <w:rFonts w:ascii="Calibri" w:eastAsia="Times New Roman" w:hAnsi="Calibri" w:cs="Calibri"/>
                <w:b/>
                <w:bCs/>
                <w:lang w:eastAsia="en-GB"/>
              </w:rPr>
              <w:t xml:space="preserve"> group</w:t>
            </w:r>
          </w:p>
        </w:tc>
        <w:tc>
          <w:tcPr>
            <w:tcW w:w="656" w:type="dxa"/>
            <w:noWrap/>
            <w:hideMark/>
          </w:tcPr>
          <w:p w14:paraId="05AD3B22" w14:textId="77777777" w:rsidR="005A7DD0" w:rsidRPr="00B62C17" w:rsidRDefault="005A7DD0" w:rsidP="00D53748">
            <w:pPr>
              <w:jc w:val="center"/>
              <w:rPr>
                <w:rFonts w:ascii="Calibri" w:eastAsia="Times New Roman" w:hAnsi="Calibri" w:cs="Calibri"/>
                <w:b/>
                <w:bCs/>
                <w:lang w:eastAsia="en-GB"/>
              </w:rPr>
            </w:pPr>
            <w:r w:rsidRPr="00B62C17">
              <w:rPr>
                <w:rFonts w:ascii="Calibri" w:eastAsia="Times New Roman" w:hAnsi="Calibri" w:cs="Calibri"/>
                <w:b/>
                <w:bCs/>
                <w:lang w:eastAsia="en-GB"/>
              </w:rPr>
              <w:t>&lt;=25</w:t>
            </w:r>
          </w:p>
        </w:tc>
        <w:tc>
          <w:tcPr>
            <w:tcW w:w="859" w:type="dxa"/>
            <w:noWrap/>
            <w:hideMark/>
          </w:tcPr>
          <w:p w14:paraId="61C243BE" w14:textId="77777777" w:rsidR="005A7DD0" w:rsidRPr="00B62C17" w:rsidRDefault="005A7DD0" w:rsidP="00D53748">
            <w:pPr>
              <w:jc w:val="center"/>
              <w:rPr>
                <w:rFonts w:ascii="Calibri" w:eastAsia="Times New Roman" w:hAnsi="Calibri" w:cs="Calibri"/>
                <w:b/>
                <w:bCs/>
                <w:lang w:eastAsia="en-GB"/>
              </w:rPr>
            </w:pPr>
            <w:r w:rsidRPr="00B62C17">
              <w:rPr>
                <w:rFonts w:ascii="Calibri" w:eastAsia="Times New Roman" w:hAnsi="Calibri" w:cs="Calibri"/>
                <w:b/>
                <w:bCs/>
                <w:lang w:eastAsia="en-GB"/>
              </w:rPr>
              <w:t>26-30</w:t>
            </w:r>
          </w:p>
        </w:tc>
        <w:tc>
          <w:tcPr>
            <w:tcW w:w="672" w:type="dxa"/>
            <w:noWrap/>
            <w:hideMark/>
          </w:tcPr>
          <w:p w14:paraId="74ADB94B" w14:textId="77777777" w:rsidR="005A7DD0" w:rsidRPr="00B62C17" w:rsidRDefault="005A7DD0" w:rsidP="00D53748">
            <w:pPr>
              <w:jc w:val="center"/>
              <w:rPr>
                <w:rFonts w:ascii="Calibri" w:eastAsia="Times New Roman" w:hAnsi="Calibri" w:cs="Calibri"/>
                <w:b/>
                <w:bCs/>
                <w:lang w:eastAsia="en-GB"/>
              </w:rPr>
            </w:pPr>
            <w:r w:rsidRPr="00B62C17">
              <w:rPr>
                <w:rFonts w:ascii="Calibri" w:eastAsia="Times New Roman" w:hAnsi="Calibri" w:cs="Calibri"/>
                <w:b/>
                <w:bCs/>
                <w:lang w:eastAsia="en-GB"/>
              </w:rPr>
              <w:t>31-35</w:t>
            </w:r>
          </w:p>
        </w:tc>
        <w:tc>
          <w:tcPr>
            <w:tcW w:w="769" w:type="dxa"/>
            <w:noWrap/>
            <w:hideMark/>
          </w:tcPr>
          <w:p w14:paraId="47AA7A51" w14:textId="77777777" w:rsidR="005A7DD0" w:rsidRPr="00B62C17" w:rsidRDefault="005A7DD0" w:rsidP="00D53748">
            <w:pPr>
              <w:jc w:val="center"/>
              <w:rPr>
                <w:rFonts w:ascii="Calibri" w:eastAsia="Times New Roman" w:hAnsi="Calibri" w:cs="Calibri"/>
                <w:b/>
                <w:bCs/>
                <w:lang w:eastAsia="en-GB"/>
              </w:rPr>
            </w:pPr>
            <w:r w:rsidRPr="00B62C17">
              <w:rPr>
                <w:rFonts w:ascii="Calibri" w:eastAsia="Times New Roman" w:hAnsi="Calibri" w:cs="Calibri"/>
                <w:b/>
                <w:bCs/>
                <w:lang w:eastAsia="en-GB"/>
              </w:rPr>
              <w:t>36-40</w:t>
            </w:r>
          </w:p>
        </w:tc>
        <w:tc>
          <w:tcPr>
            <w:tcW w:w="769" w:type="dxa"/>
            <w:noWrap/>
            <w:hideMark/>
          </w:tcPr>
          <w:p w14:paraId="722349DE" w14:textId="77777777" w:rsidR="005A7DD0" w:rsidRPr="00B62C17" w:rsidRDefault="005A7DD0" w:rsidP="00D53748">
            <w:pPr>
              <w:jc w:val="center"/>
              <w:rPr>
                <w:rFonts w:ascii="Calibri" w:eastAsia="Times New Roman" w:hAnsi="Calibri" w:cs="Calibri"/>
                <w:b/>
                <w:bCs/>
                <w:lang w:eastAsia="en-GB"/>
              </w:rPr>
            </w:pPr>
            <w:r w:rsidRPr="00B62C17">
              <w:rPr>
                <w:rFonts w:ascii="Calibri" w:eastAsia="Times New Roman" w:hAnsi="Calibri" w:cs="Calibri"/>
                <w:b/>
                <w:bCs/>
                <w:lang w:eastAsia="en-GB"/>
              </w:rPr>
              <w:t>41-45</w:t>
            </w:r>
          </w:p>
        </w:tc>
        <w:tc>
          <w:tcPr>
            <w:tcW w:w="769" w:type="dxa"/>
            <w:noWrap/>
            <w:hideMark/>
          </w:tcPr>
          <w:p w14:paraId="4ED5BEB0" w14:textId="77777777" w:rsidR="005A7DD0" w:rsidRPr="00B62C17" w:rsidRDefault="005A7DD0" w:rsidP="00D53748">
            <w:pPr>
              <w:jc w:val="center"/>
              <w:rPr>
                <w:rFonts w:ascii="Calibri" w:eastAsia="Times New Roman" w:hAnsi="Calibri" w:cs="Calibri"/>
                <w:b/>
                <w:bCs/>
                <w:lang w:eastAsia="en-GB"/>
              </w:rPr>
            </w:pPr>
            <w:r w:rsidRPr="00B62C17">
              <w:rPr>
                <w:rFonts w:ascii="Calibri" w:eastAsia="Times New Roman" w:hAnsi="Calibri" w:cs="Calibri"/>
                <w:b/>
                <w:bCs/>
                <w:lang w:eastAsia="en-GB"/>
              </w:rPr>
              <w:t>46-50</w:t>
            </w:r>
          </w:p>
        </w:tc>
        <w:tc>
          <w:tcPr>
            <w:tcW w:w="769" w:type="dxa"/>
            <w:noWrap/>
            <w:hideMark/>
          </w:tcPr>
          <w:p w14:paraId="79013549" w14:textId="77777777" w:rsidR="005A7DD0" w:rsidRPr="00B62C17" w:rsidRDefault="005A7DD0" w:rsidP="00D53748">
            <w:pPr>
              <w:jc w:val="center"/>
              <w:rPr>
                <w:rFonts w:ascii="Calibri" w:eastAsia="Times New Roman" w:hAnsi="Calibri" w:cs="Calibri"/>
                <w:b/>
                <w:bCs/>
                <w:lang w:eastAsia="en-GB"/>
              </w:rPr>
            </w:pPr>
            <w:r w:rsidRPr="00B62C17">
              <w:rPr>
                <w:rFonts w:ascii="Calibri" w:eastAsia="Times New Roman" w:hAnsi="Calibri" w:cs="Calibri"/>
                <w:b/>
                <w:bCs/>
                <w:lang w:eastAsia="en-GB"/>
              </w:rPr>
              <w:t>51-55</w:t>
            </w:r>
          </w:p>
        </w:tc>
        <w:tc>
          <w:tcPr>
            <w:tcW w:w="769" w:type="dxa"/>
            <w:noWrap/>
            <w:hideMark/>
          </w:tcPr>
          <w:p w14:paraId="3E661912" w14:textId="77777777" w:rsidR="005A7DD0" w:rsidRPr="00B62C17" w:rsidRDefault="005A7DD0" w:rsidP="00D53748">
            <w:pPr>
              <w:jc w:val="center"/>
              <w:rPr>
                <w:rFonts w:ascii="Calibri" w:eastAsia="Times New Roman" w:hAnsi="Calibri" w:cs="Calibri"/>
                <w:b/>
                <w:bCs/>
                <w:lang w:eastAsia="en-GB"/>
              </w:rPr>
            </w:pPr>
            <w:r w:rsidRPr="00B62C17">
              <w:rPr>
                <w:rFonts w:ascii="Calibri" w:eastAsia="Times New Roman" w:hAnsi="Calibri" w:cs="Calibri"/>
                <w:b/>
                <w:bCs/>
                <w:lang w:eastAsia="en-GB"/>
              </w:rPr>
              <w:t>56-60</w:t>
            </w:r>
          </w:p>
        </w:tc>
        <w:tc>
          <w:tcPr>
            <w:tcW w:w="734" w:type="dxa"/>
            <w:noWrap/>
            <w:hideMark/>
          </w:tcPr>
          <w:p w14:paraId="6DDCA293" w14:textId="77777777" w:rsidR="005A7DD0" w:rsidRPr="00B62C17" w:rsidRDefault="005A7DD0" w:rsidP="00D53748">
            <w:pPr>
              <w:jc w:val="center"/>
              <w:rPr>
                <w:rFonts w:ascii="Calibri" w:eastAsia="Times New Roman" w:hAnsi="Calibri" w:cs="Calibri"/>
                <w:b/>
                <w:bCs/>
                <w:lang w:eastAsia="en-GB"/>
              </w:rPr>
            </w:pPr>
            <w:r w:rsidRPr="00B62C17">
              <w:rPr>
                <w:rFonts w:ascii="Calibri" w:eastAsia="Times New Roman" w:hAnsi="Calibri" w:cs="Calibri"/>
                <w:b/>
                <w:bCs/>
                <w:lang w:eastAsia="en-GB"/>
              </w:rPr>
              <w:t>61-65</w:t>
            </w:r>
          </w:p>
        </w:tc>
        <w:tc>
          <w:tcPr>
            <w:tcW w:w="656" w:type="dxa"/>
            <w:noWrap/>
            <w:hideMark/>
          </w:tcPr>
          <w:p w14:paraId="4455D5D7" w14:textId="77777777" w:rsidR="005A7DD0" w:rsidRPr="00B62C17" w:rsidRDefault="005A7DD0" w:rsidP="00D53748">
            <w:pPr>
              <w:jc w:val="center"/>
              <w:rPr>
                <w:rFonts w:ascii="Calibri" w:eastAsia="Times New Roman" w:hAnsi="Calibri" w:cs="Calibri"/>
                <w:b/>
                <w:bCs/>
                <w:lang w:eastAsia="en-GB"/>
              </w:rPr>
            </w:pPr>
            <w:r w:rsidRPr="00B62C17">
              <w:rPr>
                <w:rFonts w:ascii="Calibri" w:eastAsia="Times New Roman" w:hAnsi="Calibri" w:cs="Calibri"/>
                <w:b/>
                <w:bCs/>
                <w:lang w:eastAsia="en-GB"/>
              </w:rPr>
              <w:t>&gt;=66</w:t>
            </w:r>
          </w:p>
        </w:tc>
        <w:tc>
          <w:tcPr>
            <w:tcW w:w="818" w:type="dxa"/>
            <w:noWrap/>
            <w:hideMark/>
          </w:tcPr>
          <w:p w14:paraId="2BF97D70" w14:textId="456345EC" w:rsidR="005A7DD0" w:rsidRPr="00B62C17" w:rsidRDefault="005A7DD0" w:rsidP="00D53748">
            <w:pPr>
              <w:jc w:val="center"/>
              <w:rPr>
                <w:rFonts w:ascii="Calibri" w:eastAsia="Times New Roman" w:hAnsi="Calibri" w:cs="Calibri"/>
                <w:b/>
                <w:bCs/>
                <w:lang w:eastAsia="en-GB"/>
              </w:rPr>
            </w:pPr>
            <w:r w:rsidRPr="00B62C17">
              <w:rPr>
                <w:rFonts w:ascii="Calibri" w:eastAsia="Times New Roman" w:hAnsi="Calibri" w:cs="Calibri"/>
                <w:b/>
                <w:bCs/>
                <w:lang w:eastAsia="en-GB"/>
              </w:rPr>
              <w:t>Total</w:t>
            </w:r>
          </w:p>
        </w:tc>
      </w:tr>
      <w:tr w:rsidR="00D53748" w:rsidRPr="001D1E7C" w14:paraId="336B07DE" w14:textId="77777777" w:rsidTr="00D53748">
        <w:trPr>
          <w:trHeight w:val="271"/>
        </w:trPr>
        <w:tc>
          <w:tcPr>
            <w:tcW w:w="890" w:type="dxa"/>
            <w:noWrap/>
            <w:hideMark/>
          </w:tcPr>
          <w:p w14:paraId="19B780B5" w14:textId="3D643398" w:rsidR="00D53748" w:rsidRPr="00B62C17" w:rsidRDefault="00D53748" w:rsidP="00D53748">
            <w:pPr>
              <w:jc w:val="center"/>
              <w:rPr>
                <w:rFonts w:ascii="Calibri" w:eastAsia="Times New Roman" w:hAnsi="Calibri" w:cs="Calibri"/>
                <w:lang w:eastAsia="en-GB"/>
              </w:rPr>
            </w:pPr>
            <w:r w:rsidRPr="00B62C17">
              <w:rPr>
                <w:rFonts w:ascii="Calibri" w:eastAsia="Times New Roman" w:hAnsi="Calibri" w:cs="Calibri"/>
                <w:lang w:eastAsia="en-GB"/>
              </w:rPr>
              <w:t>Number</w:t>
            </w:r>
          </w:p>
        </w:tc>
        <w:tc>
          <w:tcPr>
            <w:tcW w:w="656" w:type="dxa"/>
            <w:noWrap/>
            <w:hideMark/>
          </w:tcPr>
          <w:p w14:paraId="2FD157BA" w14:textId="66E670D8" w:rsidR="00D53748" w:rsidRPr="00B62C17" w:rsidRDefault="00D53748" w:rsidP="00D53748">
            <w:pPr>
              <w:jc w:val="center"/>
              <w:rPr>
                <w:rFonts w:ascii="Calibri" w:eastAsia="Times New Roman" w:hAnsi="Calibri" w:cs="Calibri"/>
                <w:lang w:eastAsia="en-GB"/>
              </w:rPr>
            </w:pPr>
            <w:r w:rsidRPr="00B62C17">
              <w:rPr>
                <w:rFonts w:ascii="Calibri" w:eastAsia="Times New Roman" w:hAnsi="Calibri" w:cs="Calibri"/>
                <w:lang w:eastAsia="en-GB"/>
              </w:rPr>
              <w:t>231</w:t>
            </w:r>
          </w:p>
        </w:tc>
        <w:tc>
          <w:tcPr>
            <w:tcW w:w="859" w:type="dxa"/>
            <w:noWrap/>
          </w:tcPr>
          <w:p w14:paraId="0D1F4859" w14:textId="6C8DF282" w:rsidR="00D53748" w:rsidRPr="00B62C17" w:rsidRDefault="00D53748" w:rsidP="00D53748">
            <w:pPr>
              <w:jc w:val="center"/>
              <w:rPr>
                <w:rFonts w:ascii="Calibri" w:eastAsia="Times New Roman" w:hAnsi="Calibri" w:cs="Calibri"/>
                <w:lang w:eastAsia="en-GB"/>
              </w:rPr>
            </w:pPr>
            <w:r w:rsidRPr="00B62C17">
              <w:rPr>
                <w:rFonts w:ascii="Calibri" w:eastAsia="Times New Roman" w:hAnsi="Calibri" w:cs="Calibri"/>
                <w:lang w:eastAsia="en-GB"/>
              </w:rPr>
              <w:t>633</w:t>
            </w:r>
          </w:p>
        </w:tc>
        <w:tc>
          <w:tcPr>
            <w:tcW w:w="672" w:type="dxa"/>
            <w:noWrap/>
          </w:tcPr>
          <w:p w14:paraId="042746A4" w14:textId="5F761FA7" w:rsidR="00D53748" w:rsidRPr="00B62C17" w:rsidRDefault="00D53748" w:rsidP="00D53748">
            <w:pPr>
              <w:jc w:val="center"/>
              <w:rPr>
                <w:rFonts w:ascii="Calibri" w:eastAsia="Times New Roman" w:hAnsi="Calibri" w:cs="Calibri"/>
                <w:lang w:eastAsia="en-GB"/>
              </w:rPr>
            </w:pPr>
            <w:r w:rsidRPr="00B62C17">
              <w:rPr>
                <w:rFonts w:ascii="Calibri" w:eastAsia="Times New Roman" w:hAnsi="Calibri" w:cs="Calibri"/>
                <w:lang w:eastAsia="en-GB"/>
              </w:rPr>
              <w:t>930</w:t>
            </w:r>
          </w:p>
        </w:tc>
        <w:tc>
          <w:tcPr>
            <w:tcW w:w="769" w:type="dxa"/>
            <w:noWrap/>
          </w:tcPr>
          <w:p w14:paraId="71CDBFEA" w14:textId="349E27C7" w:rsidR="00D53748" w:rsidRPr="00B62C17" w:rsidRDefault="00D53748" w:rsidP="00D53748">
            <w:pPr>
              <w:jc w:val="center"/>
              <w:rPr>
                <w:rFonts w:ascii="Calibri" w:eastAsia="Times New Roman" w:hAnsi="Calibri" w:cs="Calibri"/>
                <w:lang w:eastAsia="en-GB"/>
              </w:rPr>
            </w:pPr>
            <w:r w:rsidRPr="00B62C17">
              <w:rPr>
                <w:rFonts w:ascii="Calibri" w:eastAsia="Times New Roman" w:hAnsi="Calibri" w:cs="Calibri"/>
                <w:lang w:eastAsia="en-GB"/>
              </w:rPr>
              <w:t>937</w:t>
            </w:r>
          </w:p>
        </w:tc>
        <w:tc>
          <w:tcPr>
            <w:tcW w:w="769" w:type="dxa"/>
            <w:noWrap/>
          </w:tcPr>
          <w:p w14:paraId="7D487901" w14:textId="47165A4E" w:rsidR="00D53748" w:rsidRPr="00B62C17" w:rsidRDefault="00D53748" w:rsidP="00D53748">
            <w:pPr>
              <w:jc w:val="center"/>
              <w:rPr>
                <w:rFonts w:ascii="Calibri" w:eastAsia="Times New Roman" w:hAnsi="Calibri" w:cs="Calibri"/>
                <w:lang w:eastAsia="en-GB"/>
              </w:rPr>
            </w:pPr>
            <w:r w:rsidRPr="00B62C17">
              <w:rPr>
                <w:rFonts w:ascii="Calibri" w:eastAsia="Times New Roman" w:hAnsi="Calibri" w:cs="Calibri"/>
                <w:lang w:eastAsia="en-GB"/>
              </w:rPr>
              <w:t>943</w:t>
            </w:r>
          </w:p>
        </w:tc>
        <w:tc>
          <w:tcPr>
            <w:tcW w:w="769" w:type="dxa"/>
            <w:noWrap/>
          </w:tcPr>
          <w:p w14:paraId="60570516" w14:textId="304A7914" w:rsidR="00D53748" w:rsidRPr="00B62C17" w:rsidRDefault="00D53748" w:rsidP="00D53748">
            <w:pPr>
              <w:jc w:val="center"/>
              <w:rPr>
                <w:rFonts w:ascii="Calibri" w:eastAsia="Times New Roman" w:hAnsi="Calibri" w:cs="Calibri"/>
                <w:lang w:eastAsia="en-GB"/>
              </w:rPr>
            </w:pPr>
            <w:r w:rsidRPr="00B62C17">
              <w:rPr>
                <w:rFonts w:ascii="Calibri" w:eastAsia="Times New Roman" w:hAnsi="Calibri" w:cs="Calibri"/>
                <w:lang w:eastAsia="en-GB"/>
              </w:rPr>
              <w:t>776</w:t>
            </w:r>
          </w:p>
        </w:tc>
        <w:tc>
          <w:tcPr>
            <w:tcW w:w="769" w:type="dxa"/>
            <w:noWrap/>
          </w:tcPr>
          <w:p w14:paraId="056B0239" w14:textId="51BE3D17" w:rsidR="00D53748" w:rsidRPr="00B62C17" w:rsidRDefault="00D53748" w:rsidP="00D53748">
            <w:pPr>
              <w:jc w:val="center"/>
              <w:rPr>
                <w:rFonts w:ascii="Calibri" w:eastAsia="Times New Roman" w:hAnsi="Calibri" w:cs="Calibri"/>
                <w:lang w:eastAsia="en-GB"/>
              </w:rPr>
            </w:pPr>
            <w:r w:rsidRPr="00B62C17">
              <w:rPr>
                <w:rFonts w:ascii="Calibri" w:eastAsia="Times New Roman" w:hAnsi="Calibri" w:cs="Calibri"/>
                <w:lang w:eastAsia="en-GB"/>
              </w:rPr>
              <w:t>753</w:t>
            </w:r>
          </w:p>
        </w:tc>
        <w:tc>
          <w:tcPr>
            <w:tcW w:w="769" w:type="dxa"/>
            <w:noWrap/>
          </w:tcPr>
          <w:p w14:paraId="75410764" w14:textId="4104D089" w:rsidR="00D53748" w:rsidRPr="00B62C17" w:rsidRDefault="00D53748" w:rsidP="00D53748">
            <w:pPr>
              <w:jc w:val="center"/>
              <w:rPr>
                <w:rFonts w:ascii="Calibri" w:eastAsia="Times New Roman" w:hAnsi="Calibri" w:cs="Calibri"/>
                <w:lang w:eastAsia="en-GB"/>
              </w:rPr>
            </w:pPr>
            <w:r w:rsidRPr="00B62C17">
              <w:rPr>
                <w:rFonts w:ascii="Calibri" w:eastAsia="Times New Roman" w:hAnsi="Calibri" w:cs="Calibri"/>
                <w:lang w:eastAsia="en-GB"/>
              </w:rPr>
              <w:t>663</w:t>
            </w:r>
          </w:p>
        </w:tc>
        <w:tc>
          <w:tcPr>
            <w:tcW w:w="734" w:type="dxa"/>
            <w:noWrap/>
          </w:tcPr>
          <w:p w14:paraId="5AC57A7E" w14:textId="21F39629" w:rsidR="00D53748" w:rsidRPr="00B62C17" w:rsidRDefault="00D53748" w:rsidP="00D53748">
            <w:pPr>
              <w:jc w:val="center"/>
              <w:rPr>
                <w:rFonts w:ascii="Calibri" w:eastAsia="Times New Roman" w:hAnsi="Calibri" w:cs="Calibri"/>
                <w:lang w:eastAsia="en-GB"/>
              </w:rPr>
            </w:pPr>
            <w:r w:rsidRPr="00B62C17">
              <w:rPr>
                <w:rFonts w:ascii="Calibri" w:eastAsia="Times New Roman" w:hAnsi="Calibri" w:cs="Calibri"/>
                <w:lang w:eastAsia="en-GB"/>
              </w:rPr>
              <w:t>395</w:t>
            </w:r>
          </w:p>
        </w:tc>
        <w:tc>
          <w:tcPr>
            <w:tcW w:w="656" w:type="dxa"/>
            <w:noWrap/>
          </w:tcPr>
          <w:p w14:paraId="64F914A7" w14:textId="28AA09DC" w:rsidR="00D53748" w:rsidRPr="00B62C17" w:rsidRDefault="00D53748" w:rsidP="00D53748">
            <w:pPr>
              <w:jc w:val="center"/>
              <w:rPr>
                <w:rFonts w:ascii="Calibri" w:eastAsia="Times New Roman" w:hAnsi="Calibri" w:cs="Calibri"/>
                <w:lang w:eastAsia="en-GB"/>
              </w:rPr>
            </w:pPr>
            <w:r w:rsidRPr="00B62C17">
              <w:rPr>
                <w:rFonts w:ascii="Calibri" w:eastAsia="Times New Roman" w:hAnsi="Calibri" w:cs="Calibri"/>
                <w:lang w:eastAsia="en-GB"/>
              </w:rPr>
              <w:t>154</w:t>
            </w:r>
          </w:p>
        </w:tc>
        <w:tc>
          <w:tcPr>
            <w:tcW w:w="818" w:type="dxa"/>
            <w:noWrap/>
          </w:tcPr>
          <w:p w14:paraId="429A458D" w14:textId="79AA7B99" w:rsidR="00D53748" w:rsidRPr="00B62C17" w:rsidRDefault="00D53748" w:rsidP="00D53748">
            <w:pPr>
              <w:jc w:val="center"/>
              <w:rPr>
                <w:rFonts w:ascii="Calibri" w:eastAsia="Times New Roman" w:hAnsi="Calibri" w:cs="Calibri"/>
                <w:lang w:eastAsia="en-GB"/>
              </w:rPr>
            </w:pPr>
            <w:r w:rsidRPr="00B62C17">
              <w:rPr>
                <w:rFonts w:ascii="Calibri" w:eastAsia="Times New Roman" w:hAnsi="Calibri" w:cs="Calibri"/>
                <w:lang w:eastAsia="en-GB"/>
              </w:rPr>
              <w:t>6415</w:t>
            </w:r>
          </w:p>
        </w:tc>
      </w:tr>
      <w:tr w:rsidR="00D53748" w:rsidRPr="0032213D" w14:paraId="5D82D9A5" w14:textId="77777777" w:rsidTr="00D53748">
        <w:trPr>
          <w:trHeight w:val="271"/>
        </w:trPr>
        <w:tc>
          <w:tcPr>
            <w:tcW w:w="890" w:type="dxa"/>
            <w:noWrap/>
            <w:hideMark/>
          </w:tcPr>
          <w:p w14:paraId="2C199ABA" w14:textId="77777777" w:rsidR="00D53748" w:rsidRPr="00B62C17" w:rsidRDefault="00D53748" w:rsidP="00D53748">
            <w:pPr>
              <w:jc w:val="center"/>
              <w:rPr>
                <w:rFonts w:ascii="Calibri" w:eastAsia="Times New Roman" w:hAnsi="Calibri" w:cs="Calibri"/>
                <w:lang w:eastAsia="en-GB"/>
              </w:rPr>
            </w:pPr>
            <w:r w:rsidRPr="00B62C17">
              <w:rPr>
                <w:rFonts w:ascii="Calibri" w:eastAsia="Times New Roman" w:hAnsi="Calibri" w:cs="Calibri"/>
                <w:lang w:eastAsia="en-GB"/>
              </w:rPr>
              <w:t>%</w:t>
            </w:r>
          </w:p>
        </w:tc>
        <w:tc>
          <w:tcPr>
            <w:tcW w:w="656" w:type="dxa"/>
            <w:noWrap/>
            <w:hideMark/>
          </w:tcPr>
          <w:p w14:paraId="6D51AB8F" w14:textId="3E0253FF" w:rsidR="00D53748" w:rsidRPr="00B62C17" w:rsidRDefault="00D53748" w:rsidP="00D53748">
            <w:pPr>
              <w:jc w:val="center"/>
              <w:rPr>
                <w:rFonts w:ascii="Calibri" w:eastAsia="Times New Roman" w:hAnsi="Calibri" w:cs="Calibri"/>
                <w:lang w:eastAsia="en-GB"/>
              </w:rPr>
            </w:pPr>
            <w:r w:rsidRPr="00B62C17">
              <w:rPr>
                <w:rFonts w:ascii="Calibri" w:eastAsia="Times New Roman" w:hAnsi="Calibri" w:cs="Calibri"/>
                <w:lang w:eastAsia="en-GB"/>
              </w:rPr>
              <w:t>3.6%</w:t>
            </w:r>
          </w:p>
        </w:tc>
        <w:tc>
          <w:tcPr>
            <w:tcW w:w="859" w:type="dxa"/>
            <w:noWrap/>
          </w:tcPr>
          <w:p w14:paraId="712F6C8E" w14:textId="19E7CC1B" w:rsidR="00D53748" w:rsidRPr="00B62C17" w:rsidRDefault="00D53748" w:rsidP="00D53748">
            <w:pPr>
              <w:jc w:val="center"/>
              <w:rPr>
                <w:rFonts w:ascii="Calibri" w:eastAsia="Times New Roman" w:hAnsi="Calibri" w:cs="Calibri"/>
                <w:lang w:eastAsia="en-GB"/>
              </w:rPr>
            </w:pPr>
            <w:r w:rsidRPr="00B62C17">
              <w:rPr>
                <w:rFonts w:ascii="Calibri" w:eastAsia="Times New Roman" w:hAnsi="Calibri" w:cs="Calibri"/>
                <w:lang w:eastAsia="en-GB"/>
              </w:rPr>
              <w:t>9.9%</w:t>
            </w:r>
          </w:p>
        </w:tc>
        <w:tc>
          <w:tcPr>
            <w:tcW w:w="672" w:type="dxa"/>
            <w:noWrap/>
          </w:tcPr>
          <w:p w14:paraId="43647B19" w14:textId="464E304E" w:rsidR="00D53748" w:rsidRPr="00B62C17" w:rsidRDefault="00D53748" w:rsidP="00D53748">
            <w:pPr>
              <w:jc w:val="center"/>
              <w:rPr>
                <w:rFonts w:ascii="Calibri" w:eastAsia="Times New Roman" w:hAnsi="Calibri" w:cs="Calibri"/>
                <w:lang w:eastAsia="en-GB"/>
              </w:rPr>
            </w:pPr>
            <w:r w:rsidRPr="00B62C17">
              <w:rPr>
                <w:rFonts w:ascii="Calibri" w:eastAsia="Times New Roman" w:hAnsi="Calibri" w:cs="Calibri"/>
                <w:lang w:eastAsia="en-GB"/>
              </w:rPr>
              <w:t>14.5%</w:t>
            </w:r>
          </w:p>
        </w:tc>
        <w:tc>
          <w:tcPr>
            <w:tcW w:w="769" w:type="dxa"/>
            <w:noWrap/>
          </w:tcPr>
          <w:p w14:paraId="00D33D23" w14:textId="6B40ABD1" w:rsidR="00D53748" w:rsidRPr="00B62C17" w:rsidRDefault="00D53748" w:rsidP="00D53748">
            <w:pPr>
              <w:jc w:val="center"/>
              <w:rPr>
                <w:rFonts w:ascii="Calibri" w:eastAsia="Times New Roman" w:hAnsi="Calibri" w:cs="Calibri"/>
                <w:lang w:eastAsia="en-GB"/>
              </w:rPr>
            </w:pPr>
            <w:r w:rsidRPr="00B62C17">
              <w:rPr>
                <w:rFonts w:ascii="Calibri" w:eastAsia="Times New Roman" w:hAnsi="Calibri" w:cs="Calibri"/>
                <w:lang w:eastAsia="en-GB"/>
              </w:rPr>
              <w:t>14.6%</w:t>
            </w:r>
          </w:p>
        </w:tc>
        <w:tc>
          <w:tcPr>
            <w:tcW w:w="769" w:type="dxa"/>
            <w:noWrap/>
          </w:tcPr>
          <w:p w14:paraId="42DD0D07" w14:textId="25648897" w:rsidR="00D53748" w:rsidRPr="00B62C17" w:rsidRDefault="00D53748" w:rsidP="00D53748">
            <w:pPr>
              <w:jc w:val="center"/>
              <w:rPr>
                <w:rFonts w:ascii="Calibri" w:eastAsia="Times New Roman" w:hAnsi="Calibri" w:cs="Calibri"/>
                <w:lang w:eastAsia="en-GB"/>
              </w:rPr>
            </w:pPr>
            <w:r w:rsidRPr="00B62C17">
              <w:rPr>
                <w:rFonts w:ascii="Calibri" w:eastAsia="Times New Roman" w:hAnsi="Calibri" w:cs="Calibri"/>
                <w:lang w:eastAsia="en-GB"/>
              </w:rPr>
              <w:t>14.7%</w:t>
            </w:r>
          </w:p>
        </w:tc>
        <w:tc>
          <w:tcPr>
            <w:tcW w:w="769" w:type="dxa"/>
            <w:noWrap/>
          </w:tcPr>
          <w:p w14:paraId="3549B0EB" w14:textId="0A5FCB9B" w:rsidR="00D53748" w:rsidRPr="00B62C17" w:rsidRDefault="00D53748" w:rsidP="00D53748">
            <w:pPr>
              <w:jc w:val="center"/>
              <w:rPr>
                <w:rFonts w:ascii="Calibri" w:eastAsia="Times New Roman" w:hAnsi="Calibri" w:cs="Calibri"/>
                <w:lang w:eastAsia="en-GB"/>
              </w:rPr>
            </w:pPr>
            <w:r w:rsidRPr="00B62C17">
              <w:rPr>
                <w:rFonts w:ascii="Calibri" w:eastAsia="Times New Roman" w:hAnsi="Calibri" w:cs="Calibri"/>
                <w:lang w:eastAsia="en-GB"/>
              </w:rPr>
              <w:t>12.1%</w:t>
            </w:r>
          </w:p>
        </w:tc>
        <w:tc>
          <w:tcPr>
            <w:tcW w:w="769" w:type="dxa"/>
            <w:noWrap/>
          </w:tcPr>
          <w:p w14:paraId="6714F179" w14:textId="38FDE779" w:rsidR="00D53748" w:rsidRPr="00B62C17" w:rsidRDefault="00D53748" w:rsidP="00D53748">
            <w:pPr>
              <w:jc w:val="center"/>
              <w:rPr>
                <w:rFonts w:ascii="Calibri" w:eastAsia="Times New Roman" w:hAnsi="Calibri" w:cs="Calibri"/>
                <w:lang w:eastAsia="en-GB"/>
              </w:rPr>
            </w:pPr>
            <w:r w:rsidRPr="00B62C17">
              <w:rPr>
                <w:rFonts w:ascii="Calibri" w:eastAsia="Times New Roman" w:hAnsi="Calibri" w:cs="Calibri"/>
                <w:lang w:eastAsia="en-GB"/>
              </w:rPr>
              <w:t>11.7%</w:t>
            </w:r>
          </w:p>
        </w:tc>
        <w:tc>
          <w:tcPr>
            <w:tcW w:w="769" w:type="dxa"/>
            <w:noWrap/>
          </w:tcPr>
          <w:p w14:paraId="2980A173" w14:textId="37299CBE" w:rsidR="00D53748" w:rsidRPr="00B62C17" w:rsidRDefault="00D53748" w:rsidP="00D53748">
            <w:pPr>
              <w:jc w:val="center"/>
              <w:rPr>
                <w:rFonts w:ascii="Calibri" w:eastAsia="Times New Roman" w:hAnsi="Calibri" w:cs="Calibri"/>
                <w:lang w:eastAsia="en-GB"/>
              </w:rPr>
            </w:pPr>
            <w:r w:rsidRPr="00B62C17">
              <w:rPr>
                <w:rFonts w:ascii="Calibri" w:eastAsia="Times New Roman" w:hAnsi="Calibri" w:cs="Calibri"/>
                <w:lang w:eastAsia="en-GB"/>
              </w:rPr>
              <w:t>10.3%</w:t>
            </w:r>
          </w:p>
        </w:tc>
        <w:tc>
          <w:tcPr>
            <w:tcW w:w="734" w:type="dxa"/>
            <w:noWrap/>
          </w:tcPr>
          <w:p w14:paraId="46BE813C" w14:textId="22A907EB" w:rsidR="00D53748" w:rsidRPr="00B62C17" w:rsidRDefault="00D53748" w:rsidP="00D53748">
            <w:pPr>
              <w:jc w:val="center"/>
              <w:rPr>
                <w:rFonts w:ascii="Calibri" w:eastAsia="Times New Roman" w:hAnsi="Calibri" w:cs="Calibri"/>
                <w:lang w:eastAsia="en-GB"/>
              </w:rPr>
            </w:pPr>
            <w:r w:rsidRPr="00B62C17">
              <w:rPr>
                <w:rFonts w:ascii="Calibri" w:eastAsia="Times New Roman" w:hAnsi="Calibri" w:cs="Calibri"/>
                <w:lang w:eastAsia="en-GB"/>
              </w:rPr>
              <w:t>6.2%</w:t>
            </w:r>
          </w:p>
        </w:tc>
        <w:tc>
          <w:tcPr>
            <w:tcW w:w="656" w:type="dxa"/>
            <w:noWrap/>
          </w:tcPr>
          <w:p w14:paraId="1570A714" w14:textId="317336C3" w:rsidR="00D53748" w:rsidRPr="00B62C17" w:rsidRDefault="00D53748" w:rsidP="00D53748">
            <w:pPr>
              <w:jc w:val="center"/>
              <w:rPr>
                <w:rFonts w:ascii="Calibri" w:eastAsia="Times New Roman" w:hAnsi="Calibri" w:cs="Calibri"/>
                <w:lang w:eastAsia="en-GB"/>
              </w:rPr>
            </w:pPr>
            <w:r w:rsidRPr="00B62C17">
              <w:rPr>
                <w:rFonts w:ascii="Calibri" w:eastAsia="Times New Roman" w:hAnsi="Calibri" w:cs="Calibri"/>
                <w:lang w:eastAsia="en-GB"/>
              </w:rPr>
              <w:t>2.4%</w:t>
            </w:r>
          </w:p>
        </w:tc>
        <w:tc>
          <w:tcPr>
            <w:tcW w:w="818" w:type="dxa"/>
            <w:noWrap/>
          </w:tcPr>
          <w:p w14:paraId="1DC65A4C" w14:textId="74CE52CB" w:rsidR="00D53748" w:rsidRPr="00B62C17" w:rsidRDefault="00D53748" w:rsidP="00D53748">
            <w:pPr>
              <w:jc w:val="center"/>
              <w:rPr>
                <w:rFonts w:ascii="Calibri" w:eastAsia="Times New Roman" w:hAnsi="Calibri" w:cs="Calibri"/>
                <w:lang w:eastAsia="en-GB"/>
              </w:rPr>
            </w:pPr>
            <w:r w:rsidRPr="00B62C17">
              <w:rPr>
                <w:rFonts w:ascii="Calibri" w:eastAsia="Times New Roman" w:hAnsi="Calibri" w:cs="Calibri"/>
                <w:lang w:eastAsia="en-GB"/>
              </w:rPr>
              <w:t>100%</w:t>
            </w:r>
          </w:p>
        </w:tc>
      </w:tr>
    </w:tbl>
    <w:p w14:paraId="642E9B83" w14:textId="77777777" w:rsidR="00DE4943" w:rsidRDefault="00DE4943" w:rsidP="3905B53E"/>
    <w:p w14:paraId="72D4DFFF" w14:textId="77777777" w:rsidR="001D1E7C" w:rsidRDefault="001D1E7C" w:rsidP="001D1E7C">
      <w:r>
        <w:t>The age profile of PS colleagues was slightly younger than that of academic colleagues, with 16.6% of PS colleagues aged 30 and under compared to 9.7% of academics. Across the PS groupings, specialist/technical colleagues had the youngest age profile, with 28.8% aged 30 or under, compared with operational 6.8% and 15.8% of administrative colleagues.</w:t>
      </w:r>
    </w:p>
    <w:p w14:paraId="28833A35" w14:textId="7D4AC8AC" w:rsidR="74E50AFA" w:rsidRDefault="74E50AFA" w:rsidP="53766C39">
      <w:pPr>
        <w:pStyle w:val="Heading3"/>
        <w:rPr>
          <w:rFonts w:ascii="Calibri Light" w:hAnsi="Calibri Light"/>
          <w:b/>
          <w:bCs/>
          <w:color w:val="1F3763"/>
        </w:rPr>
      </w:pPr>
      <w:bookmarkStart w:id="173" w:name="_Toc86832932"/>
      <w:bookmarkStart w:id="174" w:name="_Toc87435100"/>
      <w:bookmarkStart w:id="175" w:name="_Toc87856841"/>
      <w:bookmarkStart w:id="176" w:name="_Toc94185450"/>
      <w:r w:rsidRPr="53766C39">
        <w:rPr>
          <w:b/>
          <w:bCs/>
        </w:rPr>
        <w:t xml:space="preserve">Age and </w:t>
      </w:r>
      <w:r w:rsidR="6B0EF592" w:rsidRPr="53766C39">
        <w:rPr>
          <w:b/>
          <w:bCs/>
        </w:rPr>
        <w:t>other characteristics</w:t>
      </w:r>
      <w:bookmarkEnd w:id="173"/>
      <w:bookmarkEnd w:id="174"/>
      <w:bookmarkEnd w:id="175"/>
      <w:bookmarkEnd w:id="176"/>
      <w:r w:rsidR="6B0EF592" w:rsidRPr="53766C39">
        <w:rPr>
          <w:b/>
          <w:bCs/>
        </w:rPr>
        <w:t xml:space="preserve"> </w:t>
      </w:r>
    </w:p>
    <w:p w14:paraId="7EF3CA2C" w14:textId="4FE8F97A" w:rsidR="001D1E7C" w:rsidRDefault="001D1E7C" w:rsidP="00DC6B4B">
      <w:pPr>
        <w:pStyle w:val="ListParagraph"/>
        <w:numPr>
          <w:ilvl w:val="0"/>
          <w:numId w:val="62"/>
        </w:numPr>
      </w:pPr>
      <w:r>
        <w:t>The average age for females was 42.9 years compared to 45.0 years for males. The proportion of females under the age of 45 is greater than males (60% versus 53.8%). With the proportion varying between 0.6% (41-45 years) to 1.5% (36-40 years). There is a greater proportion of male colleagues across each of the age bands covering 46-50 years up to &gt;=60 years, with the proportion varying between 0.1% (51-55 years) to 2.4% (61-65 years).</w:t>
      </w:r>
    </w:p>
    <w:p w14:paraId="699FF324" w14:textId="18E414EE" w:rsidR="001D1E7C" w:rsidRDefault="001D1E7C" w:rsidP="00DC6B4B">
      <w:pPr>
        <w:pStyle w:val="ListParagraph"/>
        <w:numPr>
          <w:ilvl w:val="0"/>
          <w:numId w:val="62"/>
        </w:numPr>
      </w:pPr>
      <w:r>
        <w:t>The age profile of colleagues who identified as minoritised ethnic was younger than that of white colleagues, 56.6% were 40 and under compared to 40.4% of white colleagues.</w:t>
      </w:r>
    </w:p>
    <w:p w14:paraId="6B4E87C2" w14:textId="1CD447BA" w:rsidR="7CF93891" w:rsidRDefault="001D1E7C" w:rsidP="00DC6B4B">
      <w:pPr>
        <w:pStyle w:val="ListParagraph"/>
        <w:numPr>
          <w:ilvl w:val="0"/>
          <w:numId w:val="62"/>
        </w:numPr>
      </w:pPr>
      <w:r>
        <w:t>In terms of disability, collectively, a slightly greater proportion of colleagues who reported a disability were under 45 years (52.9%), with the highest percentage of colleagues in the 36-40 years age band (15.6%)</w:t>
      </w:r>
      <w:r w:rsidR="7CF93891" w:rsidRPr="53766C39">
        <w:t xml:space="preserve">. </w:t>
      </w:r>
    </w:p>
    <w:p w14:paraId="6E77E0B6" w14:textId="77777777" w:rsidR="00546C42" w:rsidRDefault="00546C42" w:rsidP="00AB5BD5">
      <w:bookmarkStart w:id="177" w:name="_Toc86832933"/>
    </w:p>
    <w:p w14:paraId="6741F33B" w14:textId="4DA5D8B8" w:rsidR="71DF1E09" w:rsidRDefault="71DF1E09" w:rsidP="53766C39">
      <w:pPr>
        <w:pStyle w:val="Heading2"/>
        <w:rPr>
          <w:rFonts w:ascii="Calibri Light" w:hAnsi="Calibri Light"/>
          <w:b/>
          <w:bCs/>
        </w:rPr>
      </w:pPr>
      <w:bookmarkStart w:id="178" w:name="_Toc94185451"/>
      <w:r w:rsidRPr="00B025A7">
        <w:rPr>
          <w:b/>
          <w:bCs/>
        </w:rPr>
        <w:t>Disability</w:t>
      </w:r>
      <w:bookmarkEnd w:id="177"/>
      <w:bookmarkEnd w:id="178"/>
      <w:r w:rsidRPr="53766C39">
        <w:rPr>
          <w:b/>
          <w:bCs/>
        </w:rPr>
        <w:t xml:space="preserve"> </w:t>
      </w:r>
    </w:p>
    <w:p w14:paraId="3266E1C7" w14:textId="6325FC1A" w:rsidR="1E051888" w:rsidRDefault="001C7DAD" w:rsidP="3905B53E">
      <w:pPr>
        <w:rPr>
          <w:rFonts w:ascii="Calibri" w:eastAsia="Calibri" w:hAnsi="Calibri" w:cs="Calibri"/>
        </w:rPr>
      </w:pPr>
      <w:r w:rsidRPr="001C7DAD">
        <w:rPr>
          <w:rFonts w:ascii="Calibri" w:eastAsia="Calibri" w:hAnsi="Calibri" w:cs="Calibri"/>
        </w:rPr>
        <w:t xml:space="preserve">Based on the 2022 snapshot data (Table 14), 4.1% of colleagues were recorded as having a disability, which continues the trend of a year-on-year slight increase in colleagues reporting having a disability since 2017. The proportion of colleagues reporting a disability is slightly lower than the HE </w:t>
      </w:r>
      <w:proofErr w:type="gramStart"/>
      <w:r w:rsidRPr="001C7DAD">
        <w:rPr>
          <w:rFonts w:ascii="Calibri" w:eastAsia="Calibri" w:hAnsi="Calibri" w:cs="Calibri"/>
        </w:rPr>
        <w:t>sector</w:t>
      </w:r>
      <w:proofErr w:type="gramEnd"/>
      <w:r w:rsidRPr="001C7DAD">
        <w:rPr>
          <w:rFonts w:ascii="Calibri" w:eastAsia="Calibri" w:hAnsi="Calibri" w:cs="Calibri"/>
        </w:rPr>
        <w:t xml:space="preserve"> average of 6.0% (Advance HE, 2022). 92.3% of colleagues reported they had no known disability, with 3.5% of colleagues choosing not to share their disability status.</w:t>
      </w:r>
      <w:r w:rsidR="06C31FA6" w:rsidRPr="3C4DAE66">
        <w:rPr>
          <w:rFonts w:ascii="Calibri" w:eastAsia="Calibri" w:hAnsi="Calibri" w:cs="Calibri"/>
        </w:rPr>
        <w:t xml:space="preserve"> </w:t>
      </w:r>
    </w:p>
    <w:p w14:paraId="3EC970A3" w14:textId="0E517140" w:rsidR="00F1257C" w:rsidRPr="00AD14BB" w:rsidRDefault="0024582C" w:rsidP="3905B53E">
      <w:pPr>
        <w:rPr>
          <w:rFonts w:ascii="Calibri" w:eastAsia="Calibri" w:hAnsi="Calibri" w:cs="Calibri"/>
          <w:b/>
          <w:bCs/>
        </w:rPr>
      </w:pPr>
      <w:r>
        <w:rPr>
          <w:rFonts w:ascii="Calibri" w:eastAsia="Calibri" w:hAnsi="Calibri" w:cs="Calibri"/>
          <w:b/>
          <w:bCs/>
        </w:rPr>
        <w:t xml:space="preserve">Table: </w:t>
      </w:r>
      <w:r w:rsidR="00F1257C" w:rsidRPr="00AD14BB">
        <w:rPr>
          <w:rFonts w:ascii="Calibri" w:eastAsia="Calibri" w:hAnsi="Calibri" w:cs="Calibri"/>
          <w:b/>
          <w:bCs/>
        </w:rPr>
        <w:t>All colleagues</w:t>
      </w:r>
      <w:r w:rsidR="00107D8C">
        <w:rPr>
          <w:rFonts w:ascii="Calibri" w:eastAsia="Calibri" w:hAnsi="Calibri" w:cs="Calibri"/>
          <w:b/>
          <w:bCs/>
        </w:rPr>
        <w:t>’</w:t>
      </w:r>
      <w:r w:rsidR="00F1257C" w:rsidRPr="00AD14BB">
        <w:rPr>
          <w:rFonts w:ascii="Calibri" w:eastAsia="Calibri" w:hAnsi="Calibri" w:cs="Calibri"/>
          <w:b/>
          <w:bCs/>
        </w:rPr>
        <w:t xml:space="preserve"> disability status </w:t>
      </w:r>
      <w:r>
        <w:rPr>
          <w:rFonts w:ascii="Calibri" w:eastAsia="Calibri" w:hAnsi="Calibri" w:cs="Calibri"/>
          <w:b/>
          <w:bCs/>
        </w:rPr>
        <w:t>2017-202</w:t>
      </w:r>
      <w:r w:rsidR="001C7DAD">
        <w:rPr>
          <w:rFonts w:ascii="Calibri" w:eastAsia="Calibri" w:hAnsi="Calibri" w:cs="Calibri"/>
          <w:b/>
          <w:bCs/>
        </w:rPr>
        <w:t>2</w:t>
      </w:r>
      <w:r w:rsidR="004E63FC">
        <w:rPr>
          <w:rFonts w:ascii="Calibri" w:eastAsia="Calibri" w:hAnsi="Calibri" w:cs="Calibri"/>
          <w:b/>
          <w:bCs/>
        </w:rPr>
        <w:t>.</w:t>
      </w:r>
    </w:p>
    <w:tbl>
      <w:tblPr>
        <w:tblStyle w:val="TableGrid"/>
        <w:tblW w:w="4463" w:type="pct"/>
        <w:tblLook w:val="04A0" w:firstRow="1" w:lastRow="0" w:firstColumn="1" w:lastColumn="0" w:noHBand="0" w:noVBand="1"/>
      </w:tblPr>
      <w:tblGrid>
        <w:gridCol w:w="2189"/>
        <w:gridCol w:w="976"/>
        <w:gridCol w:w="975"/>
        <w:gridCol w:w="977"/>
        <w:gridCol w:w="977"/>
        <w:gridCol w:w="977"/>
        <w:gridCol w:w="977"/>
      </w:tblGrid>
      <w:tr w:rsidR="004E63FC" w:rsidRPr="001C7DAD" w14:paraId="08A93B91" w14:textId="50CDED29" w:rsidTr="004E63FC">
        <w:trPr>
          <w:trHeight w:val="290"/>
        </w:trPr>
        <w:tc>
          <w:tcPr>
            <w:tcW w:w="1359" w:type="pct"/>
            <w:noWrap/>
            <w:hideMark/>
          </w:tcPr>
          <w:p w14:paraId="75F28AFC" w14:textId="3EF24893" w:rsidR="004E63FC" w:rsidRPr="00D53748" w:rsidRDefault="004E63FC" w:rsidP="008C1D07">
            <w:pPr>
              <w:rPr>
                <w:rFonts w:ascii="Calibri" w:eastAsia="Times New Roman" w:hAnsi="Calibri" w:cs="Calibri"/>
                <w:b/>
                <w:bCs/>
                <w:lang w:eastAsia="en-GB"/>
              </w:rPr>
            </w:pPr>
            <w:r w:rsidRPr="00D53748">
              <w:rPr>
                <w:rFonts w:ascii="Calibri" w:eastAsia="Times New Roman" w:hAnsi="Calibri" w:cs="Calibri"/>
                <w:b/>
                <w:bCs/>
                <w:lang w:eastAsia="en-GB"/>
              </w:rPr>
              <w:t>Disability status</w:t>
            </w:r>
          </w:p>
        </w:tc>
        <w:tc>
          <w:tcPr>
            <w:tcW w:w="606" w:type="pct"/>
            <w:noWrap/>
            <w:hideMark/>
          </w:tcPr>
          <w:p w14:paraId="74CAD20A" w14:textId="77777777" w:rsidR="004E63FC" w:rsidRPr="00D53748" w:rsidRDefault="004E63FC" w:rsidP="0024582C">
            <w:pPr>
              <w:jc w:val="center"/>
              <w:rPr>
                <w:rFonts w:ascii="Calibri" w:eastAsia="Times New Roman" w:hAnsi="Calibri" w:cs="Calibri"/>
                <w:b/>
                <w:bCs/>
                <w:lang w:eastAsia="en-GB"/>
              </w:rPr>
            </w:pPr>
            <w:r w:rsidRPr="00D53748">
              <w:rPr>
                <w:rFonts w:ascii="Calibri" w:eastAsia="Times New Roman" w:hAnsi="Calibri" w:cs="Calibri"/>
                <w:b/>
                <w:bCs/>
                <w:lang w:eastAsia="en-GB"/>
              </w:rPr>
              <w:t>2017</w:t>
            </w:r>
          </w:p>
        </w:tc>
        <w:tc>
          <w:tcPr>
            <w:tcW w:w="606" w:type="pct"/>
            <w:noWrap/>
            <w:hideMark/>
          </w:tcPr>
          <w:p w14:paraId="23E8CA70" w14:textId="77777777" w:rsidR="004E63FC" w:rsidRPr="00D53748" w:rsidRDefault="004E63FC" w:rsidP="0024582C">
            <w:pPr>
              <w:jc w:val="center"/>
              <w:rPr>
                <w:rFonts w:ascii="Calibri" w:eastAsia="Times New Roman" w:hAnsi="Calibri" w:cs="Calibri"/>
                <w:b/>
                <w:bCs/>
                <w:lang w:eastAsia="en-GB"/>
              </w:rPr>
            </w:pPr>
            <w:r w:rsidRPr="00D53748">
              <w:rPr>
                <w:rFonts w:ascii="Calibri" w:eastAsia="Times New Roman" w:hAnsi="Calibri" w:cs="Calibri"/>
                <w:b/>
                <w:bCs/>
                <w:lang w:eastAsia="en-GB"/>
              </w:rPr>
              <w:t>2018</w:t>
            </w:r>
          </w:p>
        </w:tc>
        <w:tc>
          <w:tcPr>
            <w:tcW w:w="607" w:type="pct"/>
            <w:noWrap/>
            <w:hideMark/>
          </w:tcPr>
          <w:p w14:paraId="34AAE775" w14:textId="77777777" w:rsidR="004E63FC" w:rsidRPr="00D53748" w:rsidRDefault="004E63FC" w:rsidP="0024582C">
            <w:pPr>
              <w:jc w:val="center"/>
              <w:rPr>
                <w:rFonts w:ascii="Calibri" w:eastAsia="Times New Roman" w:hAnsi="Calibri" w:cs="Calibri"/>
                <w:b/>
                <w:bCs/>
                <w:lang w:eastAsia="en-GB"/>
              </w:rPr>
            </w:pPr>
            <w:r w:rsidRPr="00D53748">
              <w:rPr>
                <w:rFonts w:ascii="Calibri" w:eastAsia="Times New Roman" w:hAnsi="Calibri" w:cs="Calibri"/>
                <w:b/>
                <w:bCs/>
                <w:lang w:eastAsia="en-GB"/>
              </w:rPr>
              <w:t>2019</w:t>
            </w:r>
          </w:p>
        </w:tc>
        <w:tc>
          <w:tcPr>
            <w:tcW w:w="607" w:type="pct"/>
            <w:noWrap/>
            <w:hideMark/>
          </w:tcPr>
          <w:p w14:paraId="1B7E32E5" w14:textId="77777777" w:rsidR="004E63FC" w:rsidRPr="00D53748" w:rsidRDefault="004E63FC" w:rsidP="0024582C">
            <w:pPr>
              <w:jc w:val="center"/>
              <w:rPr>
                <w:rFonts w:ascii="Calibri" w:eastAsia="Times New Roman" w:hAnsi="Calibri" w:cs="Calibri"/>
                <w:b/>
                <w:bCs/>
                <w:lang w:eastAsia="en-GB"/>
              </w:rPr>
            </w:pPr>
            <w:r w:rsidRPr="00D53748">
              <w:rPr>
                <w:rFonts w:ascii="Calibri" w:eastAsia="Times New Roman" w:hAnsi="Calibri" w:cs="Calibri"/>
                <w:b/>
                <w:bCs/>
                <w:lang w:eastAsia="en-GB"/>
              </w:rPr>
              <w:t>2020</w:t>
            </w:r>
          </w:p>
        </w:tc>
        <w:tc>
          <w:tcPr>
            <w:tcW w:w="607" w:type="pct"/>
            <w:noWrap/>
            <w:hideMark/>
          </w:tcPr>
          <w:p w14:paraId="5373484B" w14:textId="77777777" w:rsidR="004E63FC" w:rsidRPr="00D53748" w:rsidRDefault="004E63FC" w:rsidP="0024582C">
            <w:pPr>
              <w:jc w:val="center"/>
              <w:rPr>
                <w:rFonts w:ascii="Calibri" w:eastAsia="Times New Roman" w:hAnsi="Calibri" w:cs="Calibri"/>
                <w:b/>
                <w:bCs/>
                <w:lang w:eastAsia="en-GB"/>
              </w:rPr>
            </w:pPr>
            <w:r w:rsidRPr="00D53748">
              <w:rPr>
                <w:rFonts w:ascii="Calibri" w:eastAsia="Times New Roman" w:hAnsi="Calibri" w:cs="Calibri"/>
                <w:b/>
                <w:bCs/>
                <w:lang w:eastAsia="en-GB"/>
              </w:rPr>
              <w:t>2021</w:t>
            </w:r>
          </w:p>
        </w:tc>
        <w:tc>
          <w:tcPr>
            <w:tcW w:w="607" w:type="pct"/>
          </w:tcPr>
          <w:p w14:paraId="4EF06E3D" w14:textId="77777777" w:rsidR="004E63FC" w:rsidRPr="00D53748" w:rsidRDefault="004E63FC" w:rsidP="0024582C">
            <w:pPr>
              <w:jc w:val="center"/>
              <w:rPr>
                <w:rFonts w:ascii="Calibri" w:eastAsia="Times New Roman" w:hAnsi="Calibri" w:cs="Calibri"/>
                <w:b/>
                <w:bCs/>
                <w:lang w:eastAsia="en-GB"/>
              </w:rPr>
            </w:pPr>
            <w:r w:rsidRPr="00D53748">
              <w:rPr>
                <w:rFonts w:ascii="Calibri" w:eastAsia="Times New Roman" w:hAnsi="Calibri" w:cs="Calibri"/>
                <w:b/>
                <w:bCs/>
                <w:lang w:eastAsia="en-GB"/>
              </w:rPr>
              <w:t>2022</w:t>
            </w:r>
          </w:p>
        </w:tc>
      </w:tr>
      <w:tr w:rsidR="004E63FC" w:rsidRPr="001C7DAD" w14:paraId="36CEE9AA" w14:textId="77777777" w:rsidTr="004E63FC">
        <w:trPr>
          <w:trHeight w:val="290"/>
        </w:trPr>
        <w:tc>
          <w:tcPr>
            <w:tcW w:w="1359" w:type="pct"/>
            <w:noWrap/>
          </w:tcPr>
          <w:p w14:paraId="6A9785F5" w14:textId="77777777" w:rsidR="004E63FC" w:rsidRPr="00D53748" w:rsidRDefault="004E63FC" w:rsidP="004E63FC">
            <w:pPr>
              <w:rPr>
                <w:rFonts w:ascii="Calibri" w:eastAsia="Times New Roman" w:hAnsi="Calibri" w:cs="Calibri"/>
                <w:lang w:eastAsia="en-GB"/>
              </w:rPr>
            </w:pPr>
          </w:p>
        </w:tc>
        <w:tc>
          <w:tcPr>
            <w:tcW w:w="606" w:type="pct"/>
            <w:noWrap/>
          </w:tcPr>
          <w:p w14:paraId="51FB0343" w14:textId="2F97841D" w:rsidR="004E63FC" w:rsidRPr="00D53748" w:rsidRDefault="004E63FC" w:rsidP="004E63FC">
            <w:pPr>
              <w:jc w:val="center"/>
              <w:rPr>
                <w:rFonts w:ascii="Calibri" w:eastAsia="Times New Roman" w:hAnsi="Calibri" w:cs="Calibri"/>
                <w:lang w:eastAsia="en-GB"/>
              </w:rPr>
            </w:pPr>
            <w:r w:rsidRPr="00D53748">
              <w:rPr>
                <w:rFonts w:ascii="Calibri" w:eastAsia="Times New Roman" w:hAnsi="Calibri" w:cs="Calibri"/>
                <w:lang w:eastAsia="en-GB"/>
              </w:rPr>
              <w:t>%</w:t>
            </w:r>
          </w:p>
        </w:tc>
        <w:tc>
          <w:tcPr>
            <w:tcW w:w="606" w:type="pct"/>
            <w:noWrap/>
          </w:tcPr>
          <w:p w14:paraId="25B8F377" w14:textId="62B429AB" w:rsidR="004E63FC" w:rsidRPr="00D53748" w:rsidRDefault="004E63FC" w:rsidP="004E63FC">
            <w:pPr>
              <w:jc w:val="center"/>
              <w:rPr>
                <w:rFonts w:ascii="Calibri" w:eastAsia="Times New Roman" w:hAnsi="Calibri" w:cs="Calibri"/>
                <w:lang w:eastAsia="en-GB"/>
              </w:rPr>
            </w:pPr>
            <w:r w:rsidRPr="00D53748">
              <w:rPr>
                <w:rFonts w:ascii="Calibri" w:eastAsia="Times New Roman" w:hAnsi="Calibri" w:cs="Calibri"/>
                <w:lang w:eastAsia="en-GB"/>
              </w:rPr>
              <w:t>%</w:t>
            </w:r>
          </w:p>
        </w:tc>
        <w:tc>
          <w:tcPr>
            <w:tcW w:w="607" w:type="pct"/>
            <w:noWrap/>
          </w:tcPr>
          <w:p w14:paraId="4360D2B4" w14:textId="34AF7CDC" w:rsidR="004E63FC" w:rsidRPr="00D53748" w:rsidRDefault="004E63FC" w:rsidP="004E63FC">
            <w:pPr>
              <w:jc w:val="center"/>
              <w:rPr>
                <w:rFonts w:ascii="Calibri" w:eastAsia="Times New Roman" w:hAnsi="Calibri" w:cs="Calibri"/>
                <w:lang w:eastAsia="en-GB"/>
              </w:rPr>
            </w:pPr>
            <w:r w:rsidRPr="00D53748">
              <w:rPr>
                <w:rFonts w:ascii="Calibri" w:eastAsia="Times New Roman" w:hAnsi="Calibri" w:cs="Calibri"/>
                <w:lang w:eastAsia="en-GB"/>
              </w:rPr>
              <w:t>%</w:t>
            </w:r>
          </w:p>
        </w:tc>
        <w:tc>
          <w:tcPr>
            <w:tcW w:w="607" w:type="pct"/>
            <w:noWrap/>
          </w:tcPr>
          <w:p w14:paraId="74801F40" w14:textId="4B55C170" w:rsidR="004E63FC" w:rsidRPr="00D53748" w:rsidRDefault="004E63FC" w:rsidP="004E63FC">
            <w:pPr>
              <w:jc w:val="center"/>
              <w:rPr>
                <w:rFonts w:ascii="Calibri" w:eastAsia="Times New Roman" w:hAnsi="Calibri" w:cs="Calibri"/>
                <w:lang w:eastAsia="en-GB"/>
              </w:rPr>
            </w:pPr>
            <w:r w:rsidRPr="00D53748">
              <w:rPr>
                <w:rFonts w:ascii="Calibri" w:eastAsia="Times New Roman" w:hAnsi="Calibri" w:cs="Calibri"/>
                <w:lang w:eastAsia="en-GB"/>
              </w:rPr>
              <w:t>%</w:t>
            </w:r>
          </w:p>
        </w:tc>
        <w:tc>
          <w:tcPr>
            <w:tcW w:w="607" w:type="pct"/>
            <w:noWrap/>
          </w:tcPr>
          <w:p w14:paraId="723BCE9C" w14:textId="33EAC466" w:rsidR="004E63FC" w:rsidRPr="00D53748" w:rsidRDefault="004E63FC" w:rsidP="004E63FC">
            <w:pPr>
              <w:jc w:val="center"/>
              <w:rPr>
                <w:rFonts w:ascii="Calibri" w:eastAsia="Times New Roman" w:hAnsi="Calibri" w:cs="Calibri"/>
                <w:lang w:eastAsia="en-GB"/>
              </w:rPr>
            </w:pPr>
            <w:r w:rsidRPr="00D53748">
              <w:rPr>
                <w:rFonts w:ascii="Calibri" w:eastAsia="Times New Roman" w:hAnsi="Calibri" w:cs="Calibri"/>
                <w:lang w:eastAsia="en-GB"/>
              </w:rPr>
              <w:t>%</w:t>
            </w:r>
          </w:p>
        </w:tc>
        <w:tc>
          <w:tcPr>
            <w:tcW w:w="607" w:type="pct"/>
          </w:tcPr>
          <w:p w14:paraId="7B723A51" w14:textId="178C681E" w:rsidR="004E63FC" w:rsidRPr="00D53748" w:rsidRDefault="004E63FC" w:rsidP="004E63FC">
            <w:pPr>
              <w:jc w:val="center"/>
              <w:rPr>
                <w:rFonts w:ascii="Calibri" w:eastAsia="Times New Roman" w:hAnsi="Calibri" w:cs="Calibri"/>
                <w:lang w:eastAsia="en-GB"/>
              </w:rPr>
            </w:pPr>
            <w:r w:rsidRPr="00D53748">
              <w:rPr>
                <w:rFonts w:ascii="Calibri" w:eastAsia="Times New Roman" w:hAnsi="Calibri" w:cs="Calibri"/>
                <w:lang w:eastAsia="en-GB"/>
              </w:rPr>
              <w:t>%</w:t>
            </w:r>
          </w:p>
        </w:tc>
      </w:tr>
      <w:tr w:rsidR="004E63FC" w:rsidRPr="001C7DAD" w14:paraId="136964D4" w14:textId="0EA22206" w:rsidTr="004E63FC">
        <w:trPr>
          <w:trHeight w:val="290"/>
        </w:trPr>
        <w:tc>
          <w:tcPr>
            <w:tcW w:w="1359" w:type="pct"/>
            <w:noWrap/>
            <w:hideMark/>
          </w:tcPr>
          <w:p w14:paraId="5F5EE6BE" w14:textId="77777777" w:rsidR="004E63FC" w:rsidRPr="00D53748" w:rsidRDefault="004E63FC" w:rsidP="004E63FC">
            <w:pPr>
              <w:rPr>
                <w:rFonts w:ascii="Calibri" w:eastAsia="Times New Roman" w:hAnsi="Calibri" w:cs="Calibri"/>
                <w:lang w:eastAsia="en-GB"/>
              </w:rPr>
            </w:pPr>
            <w:r w:rsidRPr="00D53748">
              <w:rPr>
                <w:rFonts w:ascii="Calibri" w:eastAsia="Times New Roman" w:hAnsi="Calibri" w:cs="Calibri"/>
                <w:lang w:eastAsia="en-GB"/>
              </w:rPr>
              <w:t>Disabled</w:t>
            </w:r>
          </w:p>
        </w:tc>
        <w:tc>
          <w:tcPr>
            <w:tcW w:w="606" w:type="pct"/>
            <w:noWrap/>
            <w:hideMark/>
          </w:tcPr>
          <w:p w14:paraId="56C6E249" w14:textId="77777777" w:rsidR="004E63FC" w:rsidRPr="00D53748" w:rsidRDefault="004E63FC" w:rsidP="004E63FC">
            <w:pPr>
              <w:jc w:val="center"/>
              <w:rPr>
                <w:rFonts w:ascii="Calibri" w:eastAsia="Times New Roman" w:hAnsi="Calibri" w:cs="Calibri"/>
                <w:lang w:eastAsia="en-GB"/>
              </w:rPr>
            </w:pPr>
            <w:r w:rsidRPr="00D53748">
              <w:rPr>
                <w:rFonts w:ascii="Calibri" w:eastAsia="Times New Roman" w:hAnsi="Calibri" w:cs="Calibri"/>
                <w:lang w:eastAsia="en-GB"/>
              </w:rPr>
              <w:t>3.0%</w:t>
            </w:r>
          </w:p>
        </w:tc>
        <w:tc>
          <w:tcPr>
            <w:tcW w:w="606" w:type="pct"/>
            <w:noWrap/>
            <w:hideMark/>
          </w:tcPr>
          <w:p w14:paraId="26E3ED80" w14:textId="77777777" w:rsidR="004E63FC" w:rsidRPr="00D53748" w:rsidRDefault="004E63FC" w:rsidP="004E63FC">
            <w:pPr>
              <w:jc w:val="center"/>
              <w:rPr>
                <w:rFonts w:ascii="Calibri" w:eastAsia="Times New Roman" w:hAnsi="Calibri" w:cs="Calibri"/>
                <w:lang w:eastAsia="en-GB"/>
              </w:rPr>
            </w:pPr>
            <w:r w:rsidRPr="00D53748">
              <w:rPr>
                <w:rFonts w:ascii="Calibri" w:eastAsia="Times New Roman" w:hAnsi="Calibri" w:cs="Calibri"/>
                <w:lang w:eastAsia="en-GB"/>
              </w:rPr>
              <w:t>3.4%</w:t>
            </w:r>
          </w:p>
        </w:tc>
        <w:tc>
          <w:tcPr>
            <w:tcW w:w="607" w:type="pct"/>
            <w:noWrap/>
            <w:hideMark/>
          </w:tcPr>
          <w:p w14:paraId="111B1F52" w14:textId="77777777" w:rsidR="004E63FC" w:rsidRPr="00D53748" w:rsidRDefault="004E63FC" w:rsidP="004E63FC">
            <w:pPr>
              <w:jc w:val="center"/>
              <w:rPr>
                <w:rFonts w:ascii="Calibri" w:eastAsia="Times New Roman" w:hAnsi="Calibri" w:cs="Calibri"/>
                <w:lang w:eastAsia="en-GB"/>
              </w:rPr>
            </w:pPr>
            <w:r w:rsidRPr="00D53748">
              <w:rPr>
                <w:rFonts w:ascii="Calibri" w:eastAsia="Times New Roman" w:hAnsi="Calibri" w:cs="Calibri"/>
                <w:lang w:eastAsia="en-GB"/>
              </w:rPr>
              <w:t>3.6%</w:t>
            </w:r>
          </w:p>
        </w:tc>
        <w:tc>
          <w:tcPr>
            <w:tcW w:w="607" w:type="pct"/>
            <w:noWrap/>
            <w:hideMark/>
          </w:tcPr>
          <w:p w14:paraId="588D3BC5" w14:textId="77777777" w:rsidR="004E63FC" w:rsidRPr="00D53748" w:rsidRDefault="004E63FC" w:rsidP="004E63FC">
            <w:pPr>
              <w:jc w:val="center"/>
              <w:rPr>
                <w:rFonts w:ascii="Calibri" w:eastAsia="Times New Roman" w:hAnsi="Calibri" w:cs="Calibri"/>
                <w:lang w:eastAsia="en-GB"/>
              </w:rPr>
            </w:pPr>
            <w:r w:rsidRPr="00D53748">
              <w:rPr>
                <w:rFonts w:ascii="Calibri" w:eastAsia="Times New Roman" w:hAnsi="Calibri" w:cs="Calibri"/>
                <w:lang w:eastAsia="en-GB"/>
              </w:rPr>
              <w:t>3.8%</w:t>
            </w:r>
          </w:p>
        </w:tc>
        <w:tc>
          <w:tcPr>
            <w:tcW w:w="607" w:type="pct"/>
            <w:noWrap/>
            <w:hideMark/>
          </w:tcPr>
          <w:p w14:paraId="3D3ACA23" w14:textId="77777777" w:rsidR="004E63FC" w:rsidRPr="00D53748" w:rsidRDefault="004E63FC" w:rsidP="004E63FC">
            <w:pPr>
              <w:jc w:val="center"/>
              <w:rPr>
                <w:rFonts w:ascii="Calibri" w:eastAsia="Times New Roman" w:hAnsi="Calibri" w:cs="Calibri"/>
                <w:lang w:eastAsia="en-GB"/>
              </w:rPr>
            </w:pPr>
            <w:r w:rsidRPr="00D53748">
              <w:rPr>
                <w:rFonts w:ascii="Calibri" w:eastAsia="Times New Roman" w:hAnsi="Calibri" w:cs="Calibri"/>
                <w:lang w:eastAsia="en-GB"/>
              </w:rPr>
              <w:t>4.0%</w:t>
            </w:r>
          </w:p>
        </w:tc>
        <w:tc>
          <w:tcPr>
            <w:tcW w:w="607" w:type="pct"/>
          </w:tcPr>
          <w:p w14:paraId="337A3EA6" w14:textId="0082FBE0" w:rsidR="004E63FC" w:rsidRPr="00D53748" w:rsidRDefault="004E63FC" w:rsidP="004E63FC">
            <w:pPr>
              <w:jc w:val="center"/>
              <w:rPr>
                <w:rFonts w:ascii="Calibri" w:eastAsia="Times New Roman" w:hAnsi="Calibri" w:cs="Calibri"/>
                <w:lang w:eastAsia="en-GB"/>
              </w:rPr>
            </w:pPr>
            <w:r w:rsidRPr="00D53748">
              <w:t>4.1%</w:t>
            </w:r>
          </w:p>
        </w:tc>
      </w:tr>
      <w:tr w:rsidR="004E63FC" w:rsidRPr="001C7DAD" w14:paraId="7BA7295A" w14:textId="051EA415" w:rsidTr="004E63FC">
        <w:trPr>
          <w:trHeight w:val="290"/>
        </w:trPr>
        <w:tc>
          <w:tcPr>
            <w:tcW w:w="1359" w:type="pct"/>
            <w:noWrap/>
            <w:hideMark/>
          </w:tcPr>
          <w:p w14:paraId="4D4DD0C3" w14:textId="77777777" w:rsidR="004E63FC" w:rsidRPr="00D53748" w:rsidRDefault="004E63FC" w:rsidP="004E63FC">
            <w:pPr>
              <w:rPr>
                <w:rFonts w:ascii="Calibri" w:eastAsia="Times New Roman" w:hAnsi="Calibri" w:cs="Calibri"/>
                <w:lang w:eastAsia="en-GB"/>
              </w:rPr>
            </w:pPr>
            <w:r w:rsidRPr="00D53748">
              <w:rPr>
                <w:rFonts w:ascii="Calibri" w:eastAsia="Times New Roman" w:hAnsi="Calibri" w:cs="Calibri"/>
                <w:lang w:eastAsia="en-GB"/>
              </w:rPr>
              <w:t>Not disabled</w:t>
            </w:r>
          </w:p>
        </w:tc>
        <w:tc>
          <w:tcPr>
            <w:tcW w:w="606" w:type="pct"/>
            <w:noWrap/>
            <w:hideMark/>
          </w:tcPr>
          <w:p w14:paraId="3D4EA813" w14:textId="77777777" w:rsidR="004E63FC" w:rsidRPr="00D53748" w:rsidRDefault="004E63FC" w:rsidP="004E63FC">
            <w:pPr>
              <w:jc w:val="center"/>
              <w:rPr>
                <w:rFonts w:ascii="Calibri" w:eastAsia="Times New Roman" w:hAnsi="Calibri" w:cs="Calibri"/>
                <w:lang w:eastAsia="en-GB"/>
              </w:rPr>
            </w:pPr>
            <w:r w:rsidRPr="00D53748">
              <w:rPr>
                <w:rFonts w:ascii="Calibri" w:eastAsia="Times New Roman" w:hAnsi="Calibri" w:cs="Calibri"/>
                <w:lang w:eastAsia="en-GB"/>
              </w:rPr>
              <w:t>95.0%</w:t>
            </w:r>
          </w:p>
        </w:tc>
        <w:tc>
          <w:tcPr>
            <w:tcW w:w="606" w:type="pct"/>
            <w:noWrap/>
            <w:hideMark/>
          </w:tcPr>
          <w:p w14:paraId="0D92B593" w14:textId="77777777" w:rsidR="004E63FC" w:rsidRPr="00D53748" w:rsidRDefault="004E63FC" w:rsidP="004E63FC">
            <w:pPr>
              <w:jc w:val="center"/>
              <w:rPr>
                <w:rFonts w:ascii="Calibri" w:eastAsia="Times New Roman" w:hAnsi="Calibri" w:cs="Calibri"/>
                <w:lang w:eastAsia="en-GB"/>
              </w:rPr>
            </w:pPr>
            <w:r w:rsidRPr="00D53748">
              <w:rPr>
                <w:rFonts w:ascii="Calibri" w:eastAsia="Times New Roman" w:hAnsi="Calibri" w:cs="Calibri"/>
                <w:lang w:eastAsia="en-GB"/>
              </w:rPr>
              <w:t>94.5%</w:t>
            </w:r>
          </w:p>
        </w:tc>
        <w:tc>
          <w:tcPr>
            <w:tcW w:w="607" w:type="pct"/>
            <w:noWrap/>
            <w:hideMark/>
          </w:tcPr>
          <w:p w14:paraId="504C859E" w14:textId="77777777" w:rsidR="004E63FC" w:rsidRPr="00D53748" w:rsidRDefault="004E63FC" w:rsidP="004E63FC">
            <w:pPr>
              <w:jc w:val="center"/>
              <w:rPr>
                <w:rFonts w:ascii="Calibri" w:eastAsia="Times New Roman" w:hAnsi="Calibri" w:cs="Calibri"/>
                <w:lang w:eastAsia="en-GB"/>
              </w:rPr>
            </w:pPr>
            <w:r w:rsidRPr="00D53748">
              <w:rPr>
                <w:rFonts w:ascii="Calibri" w:eastAsia="Times New Roman" w:hAnsi="Calibri" w:cs="Calibri"/>
                <w:lang w:eastAsia="en-GB"/>
              </w:rPr>
              <w:t>93.9%</w:t>
            </w:r>
          </w:p>
        </w:tc>
        <w:tc>
          <w:tcPr>
            <w:tcW w:w="607" w:type="pct"/>
            <w:noWrap/>
            <w:hideMark/>
          </w:tcPr>
          <w:p w14:paraId="22AEE79A" w14:textId="77777777" w:rsidR="004E63FC" w:rsidRPr="00D53748" w:rsidRDefault="004E63FC" w:rsidP="004E63FC">
            <w:pPr>
              <w:jc w:val="center"/>
              <w:rPr>
                <w:rFonts w:ascii="Calibri" w:eastAsia="Times New Roman" w:hAnsi="Calibri" w:cs="Calibri"/>
                <w:lang w:eastAsia="en-GB"/>
              </w:rPr>
            </w:pPr>
            <w:r w:rsidRPr="00D53748">
              <w:rPr>
                <w:rFonts w:ascii="Calibri" w:eastAsia="Times New Roman" w:hAnsi="Calibri" w:cs="Calibri"/>
                <w:lang w:eastAsia="en-GB"/>
              </w:rPr>
              <w:t>93.4%</w:t>
            </w:r>
          </w:p>
        </w:tc>
        <w:tc>
          <w:tcPr>
            <w:tcW w:w="607" w:type="pct"/>
            <w:noWrap/>
            <w:hideMark/>
          </w:tcPr>
          <w:p w14:paraId="2AF7B352" w14:textId="77777777" w:rsidR="004E63FC" w:rsidRPr="00D53748" w:rsidRDefault="004E63FC" w:rsidP="004E63FC">
            <w:pPr>
              <w:jc w:val="center"/>
              <w:rPr>
                <w:rFonts w:ascii="Calibri" w:eastAsia="Times New Roman" w:hAnsi="Calibri" w:cs="Calibri"/>
                <w:lang w:eastAsia="en-GB"/>
              </w:rPr>
            </w:pPr>
            <w:r w:rsidRPr="00D53748">
              <w:rPr>
                <w:rFonts w:ascii="Calibri" w:eastAsia="Times New Roman" w:hAnsi="Calibri" w:cs="Calibri"/>
                <w:lang w:eastAsia="en-GB"/>
              </w:rPr>
              <w:t>92.6%</w:t>
            </w:r>
          </w:p>
        </w:tc>
        <w:tc>
          <w:tcPr>
            <w:tcW w:w="607" w:type="pct"/>
          </w:tcPr>
          <w:p w14:paraId="7ABCA44C" w14:textId="3C0583F6" w:rsidR="004E63FC" w:rsidRPr="00D53748" w:rsidRDefault="004E63FC" w:rsidP="004E63FC">
            <w:pPr>
              <w:jc w:val="center"/>
              <w:rPr>
                <w:rFonts w:ascii="Calibri" w:eastAsia="Times New Roman" w:hAnsi="Calibri" w:cs="Calibri"/>
                <w:lang w:eastAsia="en-GB"/>
              </w:rPr>
            </w:pPr>
            <w:r w:rsidRPr="00D53748">
              <w:t>92.3%</w:t>
            </w:r>
          </w:p>
        </w:tc>
      </w:tr>
      <w:tr w:rsidR="004E63FC" w:rsidRPr="0024582C" w14:paraId="7AAA22D3" w14:textId="4A877257" w:rsidTr="004E63FC">
        <w:trPr>
          <w:trHeight w:val="290"/>
        </w:trPr>
        <w:tc>
          <w:tcPr>
            <w:tcW w:w="1359" w:type="pct"/>
            <w:noWrap/>
            <w:hideMark/>
          </w:tcPr>
          <w:p w14:paraId="56EA565C" w14:textId="77777777" w:rsidR="004E63FC" w:rsidRPr="00D53748" w:rsidRDefault="004E63FC" w:rsidP="004E63FC">
            <w:pPr>
              <w:rPr>
                <w:rFonts w:ascii="Calibri" w:eastAsia="Times New Roman" w:hAnsi="Calibri" w:cs="Calibri"/>
                <w:lang w:eastAsia="en-GB"/>
              </w:rPr>
            </w:pPr>
            <w:r w:rsidRPr="00D53748">
              <w:rPr>
                <w:rFonts w:ascii="Calibri" w:eastAsia="Times New Roman" w:hAnsi="Calibri" w:cs="Calibri"/>
                <w:lang w:eastAsia="en-GB"/>
              </w:rPr>
              <w:t>Prefer not to say</w:t>
            </w:r>
          </w:p>
        </w:tc>
        <w:tc>
          <w:tcPr>
            <w:tcW w:w="606" w:type="pct"/>
            <w:noWrap/>
            <w:hideMark/>
          </w:tcPr>
          <w:p w14:paraId="76FFDA37" w14:textId="77777777" w:rsidR="004E63FC" w:rsidRPr="00D53748" w:rsidRDefault="004E63FC" w:rsidP="004E63FC">
            <w:pPr>
              <w:jc w:val="center"/>
              <w:rPr>
                <w:rFonts w:ascii="Calibri" w:eastAsia="Times New Roman" w:hAnsi="Calibri" w:cs="Calibri"/>
                <w:lang w:eastAsia="en-GB"/>
              </w:rPr>
            </w:pPr>
            <w:r w:rsidRPr="00D53748">
              <w:rPr>
                <w:rFonts w:ascii="Calibri" w:eastAsia="Times New Roman" w:hAnsi="Calibri" w:cs="Calibri"/>
                <w:lang w:eastAsia="en-GB"/>
              </w:rPr>
              <w:t>2.0%</w:t>
            </w:r>
          </w:p>
        </w:tc>
        <w:tc>
          <w:tcPr>
            <w:tcW w:w="606" w:type="pct"/>
            <w:noWrap/>
            <w:hideMark/>
          </w:tcPr>
          <w:p w14:paraId="5063652B" w14:textId="77777777" w:rsidR="004E63FC" w:rsidRPr="00D53748" w:rsidRDefault="004E63FC" w:rsidP="004E63FC">
            <w:pPr>
              <w:jc w:val="center"/>
              <w:rPr>
                <w:rFonts w:ascii="Calibri" w:eastAsia="Times New Roman" w:hAnsi="Calibri" w:cs="Calibri"/>
                <w:lang w:eastAsia="en-GB"/>
              </w:rPr>
            </w:pPr>
            <w:r w:rsidRPr="00D53748">
              <w:rPr>
                <w:rFonts w:ascii="Calibri" w:eastAsia="Times New Roman" w:hAnsi="Calibri" w:cs="Calibri"/>
                <w:lang w:eastAsia="en-GB"/>
              </w:rPr>
              <w:t>2.1%</w:t>
            </w:r>
          </w:p>
        </w:tc>
        <w:tc>
          <w:tcPr>
            <w:tcW w:w="607" w:type="pct"/>
            <w:noWrap/>
            <w:hideMark/>
          </w:tcPr>
          <w:p w14:paraId="102CFFC3" w14:textId="77777777" w:rsidR="004E63FC" w:rsidRPr="00D53748" w:rsidRDefault="004E63FC" w:rsidP="004E63FC">
            <w:pPr>
              <w:jc w:val="center"/>
              <w:rPr>
                <w:rFonts w:ascii="Calibri" w:eastAsia="Times New Roman" w:hAnsi="Calibri" w:cs="Calibri"/>
                <w:lang w:eastAsia="en-GB"/>
              </w:rPr>
            </w:pPr>
            <w:r w:rsidRPr="00D53748">
              <w:rPr>
                <w:rFonts w:ascii="Calibri" w:eastAsia="Times New Roman" w:hAnsi="Calibri" w:cs="Calibri"/>
                <w:lang w:eastAsia="en-GB"/>
              </w:rPr>
              <w:t>2.5%</w:t>
            </w:r>
          </w:p>
        </w:tc>
        <w:tc>
          <w:tcPr>
            <w:tcW w:w="607" w:type="pct"/>
            <w:noWrap/>
            <w:hideMark/>
          </w:tcPr>
          <w:p w14:paraId="295C86DA" w14:textId="77777777" w:rsidR="004E63FC" w:rsidRPr="00D53748" w:rsidRDefault="004E63FC" w:rsidP="004E63FC">
            <w:pPr>
              <w:jc w:val="center"/>
              <w:rPr>
                <w:rFonts w:ascii="Calibri" w:eastAsia="Times New Roman" w:hAnsi="Calibri" w:cs="Calibri"/>
                <w:lang w:eastAsia="en-GB"/>
              </w:rPr>
            </w:pPr>
            <w:r w:rsidRPr="00D53748">
              <w:rPr>
                <w:rFonts w:ascii="Calibri" w:eastAsia="Times New Roman" w:hAnsi="Calibri" w:cs="Calibri"/>
                <w:lang w:eastAsia="en-GB"/>
              </w:rPr>
              <w:t>2.7%</w:t>
            </w:r>
          </w:p>
        </w:tc>
        <w:tc>
          <w:tcPr>
            <w:tcW w:w="607" w:type="pct"/>
            <w:noWrap/>
            <w:hideMark/>
          </w:tcPr>
          <w:p w14:paraId="5DAE16B6" w14:textId="77777777" w:rsidR="004E63FC" w:rsidRPr="00D53748" w:rsidRDefault="004E63FC" w:rsidP="004E63FC">
            <w:pPr>
              <w:jc w:val="center"/>
              <w:rPr>
                <w:rFonts w:ascii="Calibri" w:eastAsia="Times New Roman" w:hAnsi="Calibri" w:cs="Calibri"/>
                <w:lang w:eastAsia="en-GB"/>
              </w:rPr>
            </w:pPr>
            <w:r w:rsidRPr="00D53748">
              <w:rPr>
                <w:rFonts w:ascii="Calibri" w:eastAsia="Times New Roman" w:hAnsi="Calibri" w:cs="Calibri"/>
                <w:lang w:eastAsia="en-GB"/>
              </w:rPr>
              <w:t>3.4%</w:t>
            </w:r>
          </w:p>
        </w:tc>
        <w:tc>
          <w:tcPr>
            <w:tcW w:w="607" w:type="pct"/>
          </w:tcPr>
          <w:p w14:paraId="0E4456D5" w14:textId="3AA44810" w:rsidR="004E63FC" w:rsidRPr="00D53748" w:rsidRDefault="004E63FC" w:rsidP="004E63FC">
            <w:pPr>
              <w:jc w:val="center"/>
              <w:rPr>
                <w:rFonts w:ascii="Calibri" w:eastAsia="Times New Roman" w:hAnsi="Calibri" w:cs="Calibri"/>
                <w:lang w:eastAsia="en-GB"/>
              </w:rPr>
            </w:pPr>
            <w:r w:rsidRPr="00D53748">
              <w:t>3.5%</w:t>
            </w:r>
          </w:p>
        </w:tc>
      </w:tr>
      <w:tr w:rsidR="004E63FC" w:rsidRPr="0024582C" w14:paraId="4720A7D9" w14:textId="77777777" w:rsidTr="004E63FC">
        <w:trPr>
          <w:trHeight w:val="290"/>
        </w:trPr>
        <w:tc>
          <w:tcPr>
            <w:tcW w:w="1359" w:type="pct"/>
            <w:noWrap/>
          </w:tcPr>
          <w:p w14:paraId="4F9894E6" w14:textId="60BAF786" w:rsidR="004E63FC" w:rsidRPr="00D53748" w:rsidRDefault="004E63FC" w:rsidP="004E63FC">
            <w:pPr>
              <w:rPr>
                <w:rFonts w:ascii="Calibri" w:eastAsia="Times New Roman" w:hAnsi="Calibri" w:cs="Calibri"/>
                <w:lang w:eastAsia="en-GB"/>
              </w:rPr>
            </w:pPr>
            <w:r>
              <w:rPr>
                <w:rFonts w:ascii="Calibri" w:eastAsia="Times New Roman" w:hAnsi="Calibri" w:cs="Calibri"/>
                <w:lang w:eastAsia="en-GB"/>
              </w:rPr>
              <w:t>No response provided</w:t>
            </w:r>
          </w:p>
        </w:tc>
        <w:tc>
          <w:tcPr>
            <w:tcW w:w="606" w:type="pct"/>
            <w:noWrap/>
          </w:tcPr>
          <w:p w14:paraId="2B951A1E" w14:textId="77777777" w:rsidR="004E63FC" w:rsidRPr="00D53748" w:rsidRDefault="004E63FC" w:rsidP="004E63FC">
            <w:pPr>
              <w:jc w:val="center"/>
              <w:rPr>
                <w:rFonts w:ascii="Calibri" w:eastAsia="Times New Roman" w:hAnsi="Calibri" w:cs="Calibri"/>
                <w:lang w:eastAsia="en-GB"/>
              </w:rPr>
            </w:pPr>
          </w:p>
        </w:tc>
        <w:tc>
          <w:tcPr>
            <w:tcW w:w="606" w:type="pct"/>
            <w:noWrap/>
          </w:tcPr>
          <w:p w14:paraId="1217AD38" w14:textId="77777777" w:rsidR="004E63FC" w:rsidRPr="00D53748" w:rsidRDefault="004E63FC" w:rsidP="004E63FC">
            <w:pPr>
              <w:jc w:val="center"/>
              <w:rPr>
                <w:rFonts w:ascii="Calibri" w:eastAsia="Times New Roman" w:hAnsi="Calibri" w:cs="Calibri"/>
                <w:lang w:eastAsia="en-GB"/>
              </w:rPr>
            </w:pPr>
          </w:p>
        </w:tc>
        <w:tc>
          <w:tcPr>
            <w:tcW w:w="607" w:type="pct"/>
            <w:noWrap/>
          </w:tcPr>
          <w:p w14:paraId="315CF94A" w14:textId="77777777" w:rsidR="004E63FC" w:rsidRPr="00D53748" w:rsidRDefault="004E63FC" w:rsidP="004E63FC">
            <w:pPr>
              <w:jc w:val="center"/>
              <w:rPr>
                <w:rFonts w:ascii="Calibri" w:eastAsia="Times New Roman" w:hAnsi="Calibri" w:cs="Calibri"/>
                <w:lang w:eastAsia="en-GB"/>
              </w:rPr>
            </w:pPr>
          </w:p>
        </w:tc>
        <w:tc>
          <w:tcPr>
            <w:tcW w:w="607" w:type="pct"/>
            <w:noWrap/>
          </w:tcPr>
          <w:p w14:paraId="56D44B59" w14:textId="77777777" w:rsidR="004E63FC" w:rsidRPr="00D53748" w:rsidRDefault="004E63FC" w:rsidP="004E63FC">
            <w:pPr>
              <w:jc w:val="center"/>
              <w:rPr>
                <w:rFonts w:ascii="Calibri" w:eastAsia="Times New Roman" w:hAnsi="Calibri" w:cs="Calibri"/>
                <w:lang w:eastAsia="en-GB"/>
              </w:rPr>
            </w:pPr>
          </w:p>
        </w:tc>
        <w:tc>
          <w:tcPr>
            <w:tcW w:w="607" w:type="pct"/>
            <w:noWrap/>
          </w:tcPr>
          <w:p w14:paraId="295B6967" w14:textId="77777777" w:rsidR="004E63FC" w:rsidRPr="00D53748" w:rsidRDefault="004E63FC" w:rsidP="004E63FC">
            <w:pPr>
              <w:jc w:val="center"/>
              <w:rPr>
                <w:rFonts w:ascii="Calibri" w:eastAsia="Times New Roman" w:hAnsi="Calibri" w:cs="Calibri"/>
                <w:lang w:eastAsia="en-GB"/>
              </w:rPr>
            </w:pPr>
          </w:p>
        </w:tc>
        <w:tc>
          <w:tcPr>
            <w:tcW w:w="607" w:type="pct"/>
          </w:tcPr>
          <w:p w14:paraId="32E7669E" w14:textId="4B6D6EFE" w:rsidR="004E63FC" w:rsidRPr="00D53748" w:rsidRDefault="004E63FC" w:rsidP="004E63FC">
            <w:pPr>
              <w:jc w:val="center"/>
              <w:rPr>
                <w:rFonts w:ascii="Calibri" w:eastAsia="Times New Roman" w:hAnsi="Calibri" w:cs="Calibri"/>
                <w:lang w:eastAsia="en-GB"/>
              </w:rPr>
            </w:pPr>
            <w:r w:rsidRPr="00D53748">
              <w:t>0.1%</w:t>
            </w:r>
          </w:p>
        </w:tc>
      </w:tr>
    </w:tbl>
    <w:p w14:paraId="4F092F12" w14:textId="77777777" w:rsidR="008C1D07" w:rsidRDefault="008C1D07" w:rsidP="3905B53E">
      <w:pPr>
        <w:rPr>
          <w:rFonts w:ascii="Calibri" w:eastAsia="Calibri" w:hAnsi="Calibri" w:cs="Calibri"/>
        </w:rPr>
      </w:pPr>
    </w:p>
    <w:p w14:paraId="709C7E17" w14:textId="599E5822" w:rsidR="001C7DAD" w:rsidRPr="001C7DAD" w:rsidRDefault="001C7DAD" w:rsidP="001C7DAD">
      <w:pPr>
        <w:rPr>
          <w:rFonts w:ascii="Calibri" w:eastAsia="Calibri" w:hAnsi="Calibri" w:cs="Calibri"/>
        </w:rPr>
      </w:pPr>
      <w:r w:rsidRPr="001C7DAD">
        <w:rPr>
          <w:rFonts w:ascii="Calibri" w:eastAsia="Calibri" w:hAnsi="Calibri" w:cs="Calibri"/>
        </w:rPr>
        <w:t xml:space="preserve">Across our Faculties, the highest proportion of all colleagues identifying a disability was within HaSS (4.6%), followed by SAgE (3.3%) then FMS (3.2%). The proportion of those who preferred not to say in </w:t>
      </w:r>
      <w:r w:rsidR="004D4E6B" w:rsidRPr="001C7DAD">
        <w:rPr>
          <w:rFonts w:ascii="Calibri" w:eastAsia="Calibri" w:hAnsi="Calibri" w:cs="Calibri"/>
        </w:rPr>
        <w:t>HaSS,</w:t>
      </w:r>
      <w:r w:rsidRPr="001C7DAD">
        <w:rPr>
          <w:rFonts w:ascii="Calibri" w:eastAsia="Calibri" w:hAnsi="Calibri" w:cs="Calibri"/>
        </w:rPr>
        <w:t xml:space="preserve"> and FMS was respectively 3.9% and 3.8%, with this figure dropping to 3.2% in SAgE.</w:t>
      </w:r>
    </w:p>
    <w:p w14:paraId="29274CF8" w14:textId="1831CCCC" w:rsidR="001C7DAD" w:rsidRDefault="001C7DAD" w:rsidP="001C7DAD">
      <w:pPr>
        <w:rPr>
          <w:rFonts w:ascii="Calibri" w:eastAsia="Calibri" w:hAnsi="Calibri" w:cs="Calibri"/>
        </w:rPr>
      </w:pPr>
      <w:r w:rsidRPr="001C7DAD">
        <w:rPr>
          <w:rFonts w:ascii="Calibri" w:eastAsia="Calibri" w:hAnsi="Calibri" w:cs="Calibri"/>
        </w:rPr>
        <w:t>In relation to disabilities identified, the largest proportion of colleagues identified a disability not listed (33.8%), followed by a long-standing illness or health condition (19.4%). 14.1% of colleagues identified having a mental health condition, whilst 10.6% reported having two or more impairments and/or disabling medical conditions.</w:t>
      </w:r>
    </w:p>
    <w:p w14:paraId="42835411" w14:textId="1371870D" w:rsidR="001C7DAD" w:rsidRPr="001C7DAD" w:rsidRDefault="001C7DAD" w:rsidP="001C7DAD">
      <w:pPr>
        <w:rPr>
          <w:rFonts w:ascii="Calibri" w:eastAsia="Calibri" w:hAnsi="Calibri" w:cs="Calibri"/>
        </w:rPr>
      </w:pPr>
      <w:r w:rsidRPr="001C7DAD">
        <w:rPr>
          <w:rFonts w:ascii="Calibri" w:eastAsia="Calibri" w:hAnsi="Calibri" w:cs="Calibri"/>
        </w:rPr>
        <w:t xml:space="preserve">The proportion of both academic and PS colleagues who had declared a disability was lowest in the most senior grade (I), 1.9% and less than 5 colleagues respectively. Across academics, the highest proportion of colleagues with a declared disability was in grade H (4.2%), whilst the largest proportion of prefer not to say was at grade F (6.2%). Among PS colleagues, grade F had the highest proportion of disabled colleagues (5.6%), with prefer not to say highest at grade B (6.0%). </w:t>
      </w:r>
    </w:p>
    <w:p w14:paraId="498A6C60" w14:textId="1987EB10" w:rsidR="001C7DAD" w:rsidRPr="001C7DAD" w:rsidRDefault="00D138E8" w:rsidP="001C7DAD">
      <w:pPr>
        <w:rPr>
          <w:rFonts w:ascii="Calibri" w:eastAsia="Calibri" w:hAnsi="Calibri" w:cs="Calibri"/>
          <w:b/>
          <w:bCs/>
        </w:rPr>
      </w:pPr>
      <w:r>
        <w:rPr>
          <w:rFonts w:ascii="Calibri" w:eastAsia="Calibri" w:hAnsi="Calibri" w:cs="Calibri"/>
          <w:b/>
          <w:bCs/>
        </w:rPr>
        <w:t xml:space="preserve">Table: </w:t>
      </w:r>
      <w:r w:rsidR="004D4E6B" w:rsidRPr="001C7DAD">
        <w:rPr>
          <w:rFonts w:ascii="Calibri" w:eastAsia="Calibri" w:hAnsi="Calibri" w:cs="Calibri"/>
          <w:b/>
          <w:bCs/>
        </w:rPr>
        <w:t xml:space="preserve">Academic </w:t>
      </w:r>
      <w:r w:rsidR="004D4E6B">
        <w:rPr>
          <w:rFonts w:ascii="Calibri" w:eastAsia="Calibri" w:hAnsi="Calibri" w:cs="Calibri"/>
          <w:b/>
          <w:bCs/>
        </w:rPr>
        <w:t>and</w:t>
      </w:r>
      <w:r w:rsidR="001C7DAD">
        <w:rPr>
          <w:rFonts w:ascii="Calibri" w:eastAsia="Calibri" w:hAnsi="Calibri" w:cs="Calibri"/>
          <w:b/>
          <w:bCs/>
        </w:rPr>
        <w:t xml:space="preserve"> PS </w:t>
      </w:r>
      <w:r w:rsidR="001C7DAD" w:rsidRPr="001C7DAD">
        <w:rPr>
          <w:rFonts w:ascii="Calibri" w:eastAsia="Calibri" w:hAnsi="Calibri" w:cs="Calibri"/>
          <w:b/>
          <w:bCs/>
        </w:rPr>
        <w:t>disability status</w:t>
      </w:r>
      <w:r w:rsidR="004E63FC">
        <w:rPr>
          <w:rFonts w:ascii="Calibri" w:eastAsia="Calibri" w:hAnsi="Calibri" w:cs="Calibri"/>
          <w:b/>
          <w:bCs/>
        </w:rPr>
        <w:t>,</w:t>
      </w:r>
      <w:r w:rsidR="001C7DAD" w:rsidRPr="001C7DAD">
        <w:rPr>
          <w:rFonts w:ascii="Calibri" w:eastAsia="Calibri" w:hAnsi="Calibri" w:cs="Calibri"/>
          <w:b/>
          <w:bCs/>
        </w:rPr>
        <w:t xml:space="preserve"> 2022</w:t>
      </w:r>
      <w:r w:rsidR="004E63FC">
        <w:rPr>
          <w:rFonts w:ascii="Calibri" w:eastAsia="Calibri" w:hAnsi="Calibri" w:cs="Calibri"/>
          <w:b/>
          <w:bCs/>
        </w:rPr>
        <w:t>.</w:t>
      </w:r>
    </w:p>
    <w:tbl>
      <w:tblPr>
        <w:tblStyle w:val="TableGrid"/>
        <w:tblW w:w="7225" w:type="dxa"/>
        <w:tblLayout w:type="fixed"/>
        <w:tblLook w:val="04A0" w:firstRow="1" w:lastRow="0" w:firstColumn="1" w:lastColumn="0" w:noHBand="0" w:noVBand="1"/>
      </w:tblPr>
      <w:tblGrid>
        <w:gridCol w:w="2405"/>
        <w:gridCol w:w="1422"/>
        <w:gridCol w:w="1699"/>
        <w:gridCol w:w="1699"/>
      </w:tblGrid>
      <w:tr w:rsidR="0024582C" w:rsidRPr="001C7DAD" w14:paraId="65C42916" w14:textId="77777777" w:rsidTr="00B025A7">
        <w:trPr>
          <w:trHeight w:val="290"/>
        </w:trPr>
        <w:tc>
          <w:tcPr>
            <w:tcW w:w="2405" w:type="dxa"/>
            <w:noWrap/>
            <w:hideMark/>
          </w:tcPr>
          <w:p w14:paraId="1B36E9B8" w14:textId="43ABADD0" w:rsidR="00132A90" w:rsidRPr="00B025A7" w:rsidRDefault="00132A90" w:rsidP="00132A90">
            <w:pPr>
              <w:rPr>
                <w:rFonts w:ascii="Calibri" w:eastAsia="Times New Roman" w:hAnsi="Calibri" w:cs="Calibri"/>
                <w:b/>
                <w:bCs/>
                <w:lang w:eastAsia="en-GB"/>
              </w:rPr>
            </w:pPr>
            <w:r w:rsidRPr="00B025A7">
              <w:rPr>
                <w:rFonts w:ascii="Calibri" w:eastAsia="Times New Roman" w:hAnsi="Calibri" w:cs="Calibri"/>
                <w:b/>
                <w:bCs/>
                <w:lang w:eastAsia="en-GB"/>
              </w:rPr>
              <w:t>Disability</w:t>
            </w:r>
            <w:r w:rsidR="0024582C" w:rsidRPr="00B025A7">
              <w:rPr>
                <w:rFonts w:ascii="Calibri" w:eastAsia="Times New Roman" w:hAnsi="Calibri" w:cs="Calibri"/>
                <w:b/>
                <w:bCs/>
                <w:lang w:eastAsia="en-GB"/>
              </w:rPr>
              <w:t xml:space="preserve"> status</w:t>
            </w:r>
          </w:p>
        </w:tc>
        <w:tc>
          <w:tcPr>
            <w:tcW w:w="1422" w:type="dxa"/>
            <w:noWrap/>
            <w:hideMark/>
          </w:tcPr>
          <w:p w14:paraId="24B0F30A" w14:textId="789DAD18" w:rsidR="00132A90" w:rsidRPr="00B025A7" w:rsidRDefault="00132A90" w:rsidP="0024582C">
            <w:pPr>
              <w:jc w:val="center"/>
              <w:rPr>
                <w:rFonts w:ascii="Calibri" w:eastAsia="Times New Roman" w:hAnsi="Calibri" w:cs="Calibri"/>
                <w:b/>
                <w:bCs/>
                <w:lang w:eastAsia="en-GB"/>
              </w:rPr>
            </w:pPr>
            <w:r w:rsidRPr="00B025A7">
              <w:rPr>
                <w:rFonts w:ascii="Calibri" w:eastAsia="Times New Roman" w:hAnsi="Calibri" w:cs="Calibri"/>
                <w:b/>
                <w:bCs/>
                <w:lang w:eastAsia="en-GB"/>
              </w:rPr>
              <w:t>Academic</w:t>
            </w:r>
            <w:r w:rsidR="0024582C" w:rsidRPr="00B025A7">
              <w:rPr>
                <w:rFonts w:ascii="Calibri" w:eastAsia="Times New Roman" w:hAnsi="Calibri" w:cs="Calibri"/>
                <w:b/>
                <w:bCs/>
                <w:lang w:eastAsia="en-GB"/>
              </w:rPr>
              <w:t>s</w:t>
            </w:r>
          </w:p>
        </w:tc>
        <w:tc>
          <w:tcPr>
            <w:tcW w:w="1699" w:type="dxa"/>
            <w:noWrap/>
            <w:hideMark/>
          </w:tcPr>
          <w:p w14:paraId="33688D24" w14:textId="404832B0" w:rsidR="00132A90" w:rsidRPr="00B025A7" w:rsidRDefault="00132A90" w:rsidP="0024582C">
            <w:pPr>
              <w:jc w:val="center"/>
              <w:rPr>
                <w:rFonts w:ascii="Calibri" w:eastAsia="Times New Roman" w:hAnsi="Calibri" w:cs="Calibri"/>
                <w:b/>
                <w:bCs/>
                <w:lang w:eastAsia="en-GB"/>
              </w:rPr>
            </w:pPr>
            <w:r w:rsidRPr="00B025A7">
              <w:rPr>
                <w:rFonts w:ascii="Calibri" w:eastAsia="Times New Roman" w:hAnsi="Calibri" w:cs="Calibri"/>
                <w:b/>
                <w:bCs/>
                <w:lang w:eastAsia="en-GB"/>
              </w:rPr>
              <w:t>PS</w:t>
            </w:r>
            <w:r w:rsidR="0024582C" w:rsidRPr="00B025A7">
              <w:rPr>
                <w:rFonts w:ascii="Calibri" w:eastAsia="Times New Roman" w:hAnsi="Calibri" w:cs="Calibri"/>
                <w:b/>
                <w:bCs/>
                <w:lang w:eastAsia="en-GB"/>
              </w:rPr>
              <w:t xml:space="preserve"> colleagues</w:t>
            </w:r>
          </w:p>
        </w:tc>
        <w:tc>
          <w:tcPr>
            <w:tcW w:w="1699" w:type="dxa"/>
            <w:shd w:val="clear" w:color="auto" w:fill="auto"/>
            <w:noWrap/>
            <w:hideMark/>
          </w:tcPr>
          <w:p w14:paraId="4CFB74FF" w14:textId="77777777" w:rsidR="00132A90" w:rsidRPr="00B025A7" w:rsidRDefault="00132A90" w:rsidP="0024582C">
            <w:pPr>
              <w:jc w:val="center"/>
              <w:rPr>
                <w:rFonts w:ascii="Calibri" w:eastAsia="Times New Roman" w:hAnsi="Calibri" w:cs="Calibri"/>
                <w:b/>
                <w:bCs/>
                <w:lang w:eastAsia="en-GB"/>
              </w:rPr>
            </w:pPr>
            <w:r w:rsidRPr="00B025A7">
              <w:rPr>
                <w:rFonts w:ascii="Calibri" w:eastAsia="Times New Roman" w:hAnsi="Calibri" w:cs="Calibri"/>
                <w:b/>
                <w:bCs/>
                <w:lang w:eastAsia="en-GB"/>
              </w:rPr>
              <w:t>All colleagues</w:t>
            </w:r>
          </w:p>
        </w:tc>
      </w:tr>
      <w:tr w:rsidR="0024582C" w:rsidRPr="001C7DAD" w14:paraId="52BE682C" w14:textId="77777777" w:rsidTr="00B025A7">
        <w:trPr>
          <w:trHeight w:val="290"/>
        </w:trPr>
        <w:tc>
          <w:tcPr>
            <w:tcW w:w="2405" w:type="dxa"/>
            <w:noWrap/>
            <w:hideMark/>
          </w:tcPr>
          <w:p w14:paraId="316911A7" w14:textId="77777777" w:rsidR="00132A90" w:rsidRPr="00B025A7" w:rsidRDefault="00132A90" w:rsidP="00132A90">
            <w:pPr>
              <w:rPr>
                <w:rFonts w:ascii="Calibri" w:eastAsia="Times New Roman" w:hAnsi="Calibri" w:cs="Calibri"/>
                <w:lang w:eastAsia="en-GB"/>
              </w:rPr>
            </w:pPr>
            <w:r w:rsidRPr="00B025A7">
              <w:rPr>
                <w:rFonts w:ascii="Calibri" w:eastAsia="Times New Roman" w:hAnsi="Calibri" w:cs="Calibri"/>
                <w:lang w:eastAsia="en-GB"/>
              </w:rPr>
              <w:t>Disabled</w:t>
            </w:r>
          </w:p>
        </w:tc>
        <w:tc>
          <w:tcPr>
            <w:tcW w:w="1422" w:type="dxa"/>
            <w:noWrap/>
            <w:hideMark/>
          </w:tcPr>
          <w:p w14:paraId="26D6F349" w14:textId="71257BC3" w:rsidR="00132A90" w:rsidRPr="00B025A7" w:rsidRDefault="00132A90" w:rsidP="0024582C">
            <w:pPr>
              <w:jc w:val="center"/>
              <w:rPr>
                <w:rFonts w:ascii="Calibri" w:eastAsia="Times New Roman" w:hAnsi="Calibri" w:cs="Calibri"/>
                <w:lang w:eastAsia="en-GB"/>
              </w:rPr>
            </w:pPr>
            <w:r w:rsidRPr="00B025A7">
              <w:rPr>
                <w:rFonts w:ascii="Calibri" w:eastAsia="Times New Roman" w:hAnsi="Calibri" w:cs="Calibri"/>
                <w:lang w:eastAsia="en-GB"/>
              </w:rPr>
              <w:t>3.</w:t>
            </w:r>
            <w:r w:rsidR="00B025A7" w:rsidRPr="00B025A7">
              <w:rPr>
                <w:rFonts w:ascii="Calibri" w:eastAsia="Times New Roman" w:hAnsi="Calibri" w:cs="Calibri"/>
                <w:lang w:eastAsia="en-GB"/>
              </w:rPr>
              <w:t>1</w:t>
            </w:r>
            <w:r w:rsidRPr="00B025A7">
              <w:rPr>
                <w:rFonts w:ascii="Calibri" w:eastAsia="Times New Roman" w:hAnsi="Calibri" w:cs="Calibri"/>
                <w:lang w:eastAsia="en-GB"/>
              </w:rPr>
              <w:t>%</w:t>
            </w:r>
          </w:p>
        </w:tc>
        <w:tc>
          <w:tcPr>
            <w:tcW w:w="1699" w:type="dxa"/>
            <w:noWrap/>
            <w:hideMark/>
          </w:tcPr>
          <w:p w14:paraId="1F3FF32A" w14:textId="4CB1C89B" w:rsidR="00132A90" w:rsidRPr="00B025A7" w:rsidRDefault="00132A90" w:rsidP="0024582C">
            <w:pPr>
              <w:jc w:val="center"/>
              <w:rPr>
                <w:rFonts w:ascii="Calibri" w:eastAsia="Times New Roman" w:hAnsi="Calibri" w:cs="Calibri"/>
                <w:lang w:eastAsia="en-GB"/>
              </w:rPr>
            </w:pPr>
            <w:r w:rsidRPr="00B025A7">
              <w:rPr>
                <w:rFonts w:ascii="Calibri" w:eastAsia="Times New Roman" w:hAnsi="Calibri" w:cs="Calibri"/>
                <w:lang w:eastAsia="en-GB"/>
              </w:rPr>
              <w:t>4.</w:t>
            </w:r>
            <w:r w:rsidR="00B025A7" w:rsidRPr="00B025A7">
              <w:rPr>
                <w:rFonts w:ascii="Calibri" w:eastAsia="Times New Roman" w:hAnsi="Calibri" w:cs="Calibri"/>
                <w:lang w:eastAsia="en-GB"/>
              </w:rPr>
              <w:t>9</w:t>
            </w:r>
            <w:r w:rsidRPr="00B025A7">
              <w:rPr>
                <w:rFonts w:ascii="Calibri" w:eastAsia="Times New Roman" w:hAnsi="Calibri" w:cs="Calibri"/>
                <w:lang w:eastAsia="en-GB"/>
              </w:rPr>
              <w:t>%</w:t>
            </w:r>
          </w:p>
        </w:tc>
        <w:tc>
          <w:tcPr>
            <w:tcW w:w="1699" w:type="dxa"/>
            <w:shd w:val="clear" w:color="auto" w:fill="auto"/>
            <w:noWrap/>
            <w:hideMark/>
          </w:tcPr>
          <w:p w14:paraId="73605C36" w14:textId="1A8BC450" w:rsidR="00132A90" w:rsidRPr="00B025A7" w:rsidRDefault="00132A90" w:rsidP="0024582C">
            <w:pPr>
              <w:jc w:val="center"/>
              <w:rPr>
                <w:rFonts w:ascii="Calibri" w:eastAsia="Times New Roman" w:hAnsi="Calibri" w:cs="Calibri"/>
                <w:lang w:eastAsia="en-GB"/>
              </w:rPr>
            </w:pPr>
            <w:r w:rsidRPr="00B025A7">
              <w:rPr>
                <w:rFonts w:ascii="Calibri" w:eastAsia="Times New Roman" w:hAnsi="Calibri" w:cs="Calibri"/>
                <w:lang w:eastAsia="en-GB"/>
              </w:rPr>
              <w:t>4.</w:t>
            </w:r>
            <w:r w:rsidR="00B025A7" w:rsidRPr="00B025A7">
              <w:rPr>
                <w:rFonts w:ascii="Calibri" w:eastAsia="Times New Roman" w:hAnsi="Calibri" w:cs="Calibri"/>
                <w:lang w:eastAsia="en-GB"/>
              </w:rPr>
              <w:t>1</w:t>
            </w:r>
            <w:r w:rsidRPr="00B025A7">
              <w:rPr>
                <w:rFonts w:ascii="Calibri" w:eastAsia="Times New Roman" w:hAnsi="Calibri" w:cs="Calibri"/>
                <w:lang w:eastAsia="en-GB"/>
              </w:rPr>
              <w:t>%</w:t>
            </w:r>
          </w:p>
        </w:tc>
      </w:tr>
      <w:tr w:rsidR="0024582C" w:rsidRPr="001C7DAD" w14:paraId="59B12855" w14:textId="77777777" w:rsidTr="00B025A7">
        <w:trPr>
          <w:trHeight w:val="290"/>
        </w:trPr>
        <w:tc>
          <w:tcPr>
            <w:tcW w:w="2405" w:type="dxa"/>
            <w:noWrap/>
            <w:hideMark/>
          </w:tcPr>
          <w:p w14:paraId="6DAF30D4" w14:textId="77777777" w:rsidR="00132A90" w:rsidRPr="00B025A7" w:rsidRDefault="00132A90" w:rsidP="00132A90">
            <w:pPr>
              <w:rPr>
                <w:rFonts w:ascii="Calibri" w:eastAsia="Times New Roman" w:hAnsi="Calibri" w:cs="Calibri"/>
                <w:lang w:eastAsia="en-GB"/>
              </w:rPr>
            </w:pPr>
            <w:r w:rsidRPr="00B025A7">
              <w:rPr>
                <w:rFonts w:ascii="Calibri" w:eastAsia="Times New Roman" w:hAnsi="Calibri" w:cs="Calibri"/>
                <w:lang w:eastAsia="en-GB"/>
              </w:rPr>
              <w:t>Not disabled</w:t>
            </w:r>
          </w:p>
        </w:tc>
        <w:tc>
          <w:tcPr>
            <w:tcW w:w="1422" w:type="dxa"/>
            <w:noWrap/>
            <w:hideMark/>
          </w:tcPr>
          <w:p w14:paraId="74F134D7" w14:textId="271E50F2" w:rsidR="00132A90" w:rsidRPr="00B025A7" w:rsidRDefault="00B025A7" w:rsidP="0024582C">
            <w:pPr>
              <w:jc w:val="center"/>
              <w:rPr>
                <w:rFonts w:ascii="Calibri" w:eastAsia="Times New Roman" w:hAnsi="Calibri" w:cs="Calibri"/>
                <w:lang w:eastAsia="en-GB"/>
              </w:rPr>
            </w:pPr>
            <w:r w:rsidRPr="00B025A7">
              <w:rPr>
                <w:rFonts w:ascii="Calibri" w:eastAsia="Times New Roman" w:hAnsi="Calibri" w:cs="Calibri"/>
                <w:lang w:eastAsia="en-GB"/>
              </w:rPr>
              <w:t>92.9</w:t>
            </w:r>
            <w:r w:rsidR="00132A90" w:rsidRPr="00B025A7">
              <w:rPr>
                <w:rFonts w:ascii="Calibri" w:eastAsia="Times New Roman" w:hAnsi="Calibri" w:cs="Calibri"/>
                <w:lang w:eastAsia="en-GB"/>
              </w:rPr>
              <w:t>%</w:t>
            </w:r>
          </w:p>
        </w:tc>
        <w:tc>
          <w:tcPr>
            <w:tcW w:w="1699" w:type="dxa"/>
            <w:noWrap/>
            <w:hideMark/>
          </w:tcPr>
          <w:p w14:paraId="648517CF" w14:textId="0E01EFE3" w:rsidR="00132A90" w:rsidRPr="00B025A7" w:rsidRDefault="00132A90" w:rsidP="0024582C">
            <w:pPr>
              <w:jc w:val="center"/>
              <w:rPr>
                <w:rFonts w:ascii="Calibri" w:eastAsia="Times New Roman" w:hAnsi="Calibri" w:cs="Calibri"/>
                <w:lang w:eastAsia="en-GB"/>
              </w:rPr>
            </w:pPr>
            <w:r w:rsidRPr="00B025A7">
              <w:rPr>
                <w:rFonts w:ascii="Calibri" w:eastAsia="Times New Roman" w:hAnsi="Calibri" w:cs="Calibri"/>
                <w:lang w:eastAsia="en-GB"/>
              </w:rPr>
              <w:t>9</w:t>
            </w:r>
            <w:r w:rsidR="00B025A7" w:rsidRPr="00B025A7">
              <w:rPr>
                <w:rFonts w:ascii="Calibri" w:eastAsia="Times New Roman" w:hAnsi="Calibri" w:cs="Calibri"/>
                <w:lang w:eastAsia="en-GB"/>
              </w:rPr>
              <w:t>1.7</w:t>
            </w:r>
            <w:r w:rsidRPr="00B025A7">
              <w:rPr>
                <w:rFonts w:ascii="Calibri" w:eastAsia="Times New Roman" w:hAnsi="Calibri" w:cs="Calibri"/>
                <w:lang w:eastAsia="en-GB"/>
              </w:rPr>
              <w:t>%</w:t>
            </w:r>
          </w:p>
        </w:tc>
        <w:tc>
          <w:tcPr>
            <w:tcW w:w="1699" w:type="dxa"/>
            <w:shd w:val="clear" w:color="auto" w:fill="auto"/>
            <w:noWrap/>
            <w:hideMark/>
          </w:tcPr>
          <w:p w14:paraId="60EF5C34" w14:textId="601A9A45" w:rsidR="00132A90" w:rsidRPr="00B025A7" w:rsidRDefault="00132A90" w:rsidP="0024582C">
            <w:pPr>
              <w:jc w:val="center"/>
              <w:rPr>
                <w:rFonts w:ascii="Calibri" w:eastAsia="Times New Roman" w:hAnsi="Calibri" w:cs="Calibri"/>
                <w:lang w:eastAsia="en-GB"/>
              </w:rPr>
            </w:pPr>
            <w:r w:rsidRPr="00B025A7">
              <w:rPr>
                <w:rFonts w:ascii="Calibri" w:eastAsia="Times New Roman" w:hAnsi="Calibri" w:cs="Calibri"/>
                <w:lang w:eastAsia="en-GB"/>
              </w:rPr>
              <w:t>92.</w:t>
            </w:r>
            <w:r w:rsidR="00B025A7" w:rsidRPr="00B025A7">
              <w:rPr>
                <w:rFonts w:ascii="Calibri" w:eastAsia="Times New Roman" w:hAnsi="Calibri" w:cs="Calibri"/>
                <w:lang w:eastAsia="en-GB"/>
              </w:rPr>
              <w:t>3</w:t>
            </w:r>
            <w:r w:rsidRPr="00B025A7">
              <w:rPr>
                <w:rFonts w:ascii="Calibri" w:eastAsia="Times New Roman" w:hAnsi="Calibri" w:cs="Calibri"/>
                <w:lang w:eastAsia="en-GB"/>
              </w:rPr>
              <w:t>%</w:t>
            </w:r>
          </w:p>
        </w:tc>
      </w:tr>
      <w:tr w:rsidR="0024582C" w:rsidRPr="0024582C" w14:paraId="5E8019A7" w14:textId="77777777" w:rsidTr="00B025A7">
        <w:trPr>
          <w:trHeight w:val="290"/>
        </w:trPr>
        <w:tc>
          <w:tcPr>
            <w:tcW w:w="2405" w:type="dxa"/>
            <w:noWrap/>
            <w:hideMark/>
          </w:tcPr>
          <w:p w14:paraId="7C651EDD" w14:textId="77777777" w:rsidR="00132A90" w:rsidRPr="00B025A7" w:rsidRDefault="00132A90" w:rsidP="00132A90">
            <w:pPr>
              <w:rPr>
                <w:rFonts w:ascii="Calibri" w:eastAsia="Times New Roman" w:hAnsi="Calibri" w:cs="Calibri"/>
                <w:lang w:eastAsia="en-GB"/>
              </w:rPr>
            </w:pPr>
            <w:r w:rsidRPr="00B025A7">
              <w:rPr>
                <w:rFonts w:ascii="Calibri" w:eastAsia="Times New Roman" w:hAnsi="Calibri" w:cs="Calibri"/>
                <w:lang w:eastAsia="en-GB"/>
              </w:rPr>
              <w:t>Prefer not to say</w:t>
            </w:r>
          </w:p>
        </w:tc>
        <w:tc>
          <w:tcPr>
            <w:tcW w:w="1422" w:type="dxa"/>
            <w:noWrap/>
            <w:hideMark/>
          </w:tcPr>
          <w:p w14:paraId="4E5E0A42" w14:textId="0B9F9425" w:rsidR="00132A90" w:rsidRPr="00B025A7" w:rsidRDefault="00132A90" w:rsidP="0024582C">
            <w:pPr>
              <w:jc w:val="center"/>
              <w:rPr>
                <w:rFonts w:ascii="Calibri" w:eastAsia="Times New Roman" w:hAnsi="Calibri" w:cs="Calibri"/>
                <w:lang w:eastAsia="en-GB"/>
              </w:rPr>
            </w:pPr>
            <w:r w:rsidRPr="00B025A7">
              <w:rPr>
                <w:rFonts w:ascii="Calibri" w:eastAsia="Times New Roman" w:hAnsi="Calibri" w:cs="Calibri"/>
                <w:lang w:eastAsia="en-GB"/>
              </w:rPr>
              <w:t>3.</w:t>
            </w:r>
            <w:r w:rsidR="00B025A7" w:rsidRPr="00B025A7">
              <w:rPr>
                <w:rFonts w:ascii="Calibri" w:eastAsia="Times New Roman" w:hAnsi="Calibri" w:cs="Calibri"/>
                <w:lang w:eastAsia="en-GB"/>
              </w:rPr>
              <w:t>8</w:t>
            </w:r>
            <w:r w:rsidRPr="00B025A7">
              <w:rPr>
                <w:rFonts w:ascii="Calibri" w:eastAsia="Times New Roman" w:hAnsi="Calibri" w:cs="Calibri"/>
                <w:lang w:eastAsia="en-GB"/>
              </w:rPr>
              <w:t>%</w:t>
            </w:r>
          </w:p>
        </w:tc>
        <w:tc>
          <w:tcPr>
            <w:tcW w:w="1699" w:type="dxa"/>
            <w:noWrap/>
            <w:hideMark/>
          </w:tcPr>
          <w:p w14:paraId="08BC5721" w14:textId="43D0B6E6" w:rsidR="00132A90" w:rsidRPr="00B025A7" w:rsidRDefault="00B025A7" w:rsidP="0024582C">
            <w:pPr>
              <w:jc w:val="center"/>
              <w:rPr>
                <w:rFonts w:ascii="Calibri" w:eastAsia="Times New Roman" w:hAnsi="Calibri" w:cs="Calibri"/>
                <w:lang w:eastAsia="en-GB"/>
              </w:rPr>
            </w:pPr>
            <w:r w:rsidRPr="00B025A7">
              <w:rPr>
                <w:rFonts w:ascii="Calibri" w:eastAsia="Times New Roman" w:hAnsi="Calibri" w:cs="Calibri"/>
                <w:lang w:eastAsia="en-GB"/>
              </w:rPr>
              <w:t>3.3</w:t>
            </w:r>
            <w:r w:rsidR="00132A90" w:rsidRPr="00B025A7">
              <w:rPr>
                <w:rFonts w:ascii="Calibri" w:eastAsia="Times New Roman" w:hAnsi="Calibri" w:cs="Calibri"/>
                <w:lang w:eastAsia="en-GB"/>
              </w:rPr>
              <w:t>%</w:t>
            </w:r>
          </w:p>
        </w:tc>
        <w:tc>
          <w:tcPr>
            <w:tcW w:w="1699" w:type="dxa"/>
            <w:shd w:val="clear" w:color="auto" w:fill="auto"/>
            <w:noWrap/>
            <w:hideMark/>
          </w:tcPr>
          <w:p w14:paraId="3C67359A" w14:textId="6461D828" w:rsidR="00132A90" w:rsidRPr="00B025A7" w:rsidRDefault="00132A90" w:rsidP="0024582C">
            <w:pPr>
              <w:jc w:val="center"/>
              <w:rPr>
                <w:rFonts w:ascii="Calibri" w:eastAsia="Times New Roman" w:hAnsi="Calibri" w:cs="Calibri"/>
                <w:lang w:eastAsia="en-GB"/>
              </w:rPr>
            </w:pPr>
            <w:r w:rsidRPr="00B025A7">
              <w:rPr>
                <w:rFonts w:ascii="Calibri" w:eastAsia="Times New Roman" w:hAnsi="Calibri" w:cs="Calibri"/>
                <w:lang w:eastAsia="en-GB"/>
              </w:rPr>
              <w:t>3.</w:t>
            </w:r>
            <w:r w:rsidR="00B025A7" w:rsidRPr="00B025A7">
              <w:rPr>
                <w:rFonts w:ascii="Calibri" w:eastAsia="Times New Roman" w:hAnsi="Calibri" w:cs="Calibri"/>
                <w:lang w:eastAsia="en-GB"/>
              </w:rPr>
              <w:t>5</w:t>
            </w:r>
            <w:r w:rsidRPr="00B025A7">
              <w:rPr>
                <w:rFonts w:ascii="Calibri" w:eastAsia="Times New Roman" w:hAnsi="Calibri" w:cs="Calibri"/>
                <w:lang w:eastAsia="en-GB"/>
              </w:rPr>
              <w:t>%</w:t>
            </w:r>
          </w:p>
        </w:tc>
      </w:tr>
      <w:tr w:rsidR="00B025A7" w:rsidRPr="0024582C" w14:paraId="5B4CFA10" w14:textId="77777777" w:rsidTr="00B025A7">
        <w:trPr>
          <w:trHeight w:val="290"/>
        </w:trPr>
        <w:tc>
          <w:tcPr>
            <w:tcW w:w="2405" w:type="dxa"/>
            <w:noWrap/>
          </w:tcPr>
          <w:p w14:paraId="3CD84BF7" w14:textId="7C9E9E6D" w:rsidR="00B025A7" w:rsidRPr="00B025A7" w:rsidRDefault="00B025A7" w:rsidP="00132A90">
            <w:pPr>
              <w:rPr>
                <w:rFonts w:ascii="Calibri" w:eastAsia="Times New Roman" w:hAnsi="Calibri" w:cs="Calibri"/>
                <w:lang w:eastAsia="en-GB"/>
              </w:rPr>
            </w:pPr>
            <w:r w:rsidRPr="00B025A7">
              <w:rPr>
                <w:rFonts w:ascii="Calibri" w:eastAsia="Times New Roman" w:hAnsi="Calibri" w:cs="Calibri"/>
                <w:lang w:eastAsia="en-GB"/>
              </w:rPr>
              <w:t>No response provided</w:t>
            </w:r>
          </w:p>
        </w:tc>
        <w:tc>
          <w:tcPr>
            <w:tcW w:w="1422" w:type="dxa"/>
            <w:noWrap/>
          </w:tcPr>
          <w:p w14:paraId="50E72257" w14:textId="34CA1107" w:rsidR="00B025A7" w:rsidRPr="00B025A7" w:rsidRDefault="00B025A7" w:rsidP="0024582C">
            <w:pPr>
              <w:jc w:val="center"/>
              <w:rPr>
                <w:rFonts w:ascii="Calibri" w:eastAsia="Times New Roman" w:hAnsi="Calibri" w:cs="Calibri"/>
                <w:lang w:eastAsia="en-GB"/>
              </w:rPr>
            </w:pPr>
            <w:r w:rsidRPr="00B025A7">
              <w:rPr>
                <w:rFonts w:ascii="Calibri" w:eastAsia="Times New Roman" w:hAnsi="Calibri" w:cs="Calibri"/>
                <w:lang w:eastAsia="en-GB"/>
              </w:rPr>
              <w:t>…%</w:t>
            </w:r>
          </w:p>
        </w:tc>
        <w:tc>
          <w:tcPr>
            <w:tcW w:w="1699" w:type="dxa"/>
            <w:noWrap/>
          </w:tcPr>
          <w:p w14:paraId="4E1D34C1" w14:textId="4CCE8CF5" w:rsidR="00B025A7" w:rsidRPr="00B025A7" w:rsidRDefault="00B025A7" w:rsidP="0024582C">
            <w:pPr>
              <w:jc w:val="center"/>
              <w:rPr>
                <w:rFonts w:ascii="Calibri" w:eastAsia="Times New Roman" w:hAnsi="Calibri" w:cs="Calibri"/>
                <w:lang w:eastAsia="en-GB"/>
              </w:rPr>
            </w:pPr>
            <w:r w:rsidRPr="00B025A7">
              <w:rPr>
                <w:rFonts w:ascii="Calibri" w:eastAsia="Times New Roman" w:hAnsi="Calibri" w:cs="Calibri"/>
                <w:lang w:eastAsia="en-GB"/>
              </w:rPr>
              <w:t>…%</w:t>
            </w:r>
          </w:p>
        </w:tc>
        <w:tc>
          <w:tcPr>
            <w:tcW w:w="1699" w:type="dxa"/>
            <w:shd w:val="clear" w:color="auto" w:fill="auto"/>
            <w:noWrap/>
          </w:tcPr>
          <w:p w14:paraId="517D9F16" w14:textId="31405D0D" w:rsidR="00B025A7" w:rsidRPr="00B025A7" w:rsidRDefault="00B025A7" w:rsidP="0024582C">
            <w:pPr>
              <w:jc w:val="center"/>
              <w:rPr>
                <w:rFonts w:ascii="Calibri" w:eastAsia="Times New Roman" w:hAnsi="Calibri" w:cs="Calibri"/>
                <w:lang w:eastAsia="en-GB"/>
              </w:rPr>
            </w:pPr>
            <w:r w:rsidRPr="00B025A7">
              <w:rPr>
                <w:rFonts w:ascii="Calibri" w:eastAsia="Times New Roman" w:hAnsi="Calibri" w:cs="Calibri"/>
                <w:lang w:eastAsia="en-GB"/>
              </w:rPr>
              <w:t>0.1%</w:t>
            </w:r>
          </w:p>
        </w:tc>
      </w:tr>
    </w:tbl>
    <w:p w14:paraId="6ACE7B3C" w14:textId="77777777" w:rsidR="001C4C6D" w:rsidRDefault="001C4C6D" w:rsidP="3905B53E">
      <w:pPr>
        <w:rPr>
          <w:rFonts w:ascii="Calibri" w:eastAsia="Calibri" w:hAnsi="Calibri" w:cs="Calibri"/>
          <w:highlight w:val="yellow"/>
        </w:rPr>
      </w:pPr>
    </w:p>
    <w:p w14:paraId="2C7A0F25" w14:textId="7A495DF6" w:rsidR="12393765" w:rsidRDefault="12393765" w:rsidP="53766C39">
      <w:pPr>
        <w:pStyle w:val="Heading3"/>
        <w:rPr>
          <w:rFonts w:ascii="Calibri Light" w:hAnsi="Calibri Light"/>
          <w:b/>
          <w:bCs/>
          <w:color w:val="1F3763"/>
        </w:rPr>
      </w:pPr>
      <w:bookmarkStart w:id="179" w:name="_Toc86832934"/>
      <w:bookmarkStart w:id="180" w:name="_Toc87435102"/>
      <w:bookmarkStart w:id="181" w:name="_Toc87856843"/>
      <w:bookmarkStart w:id="182" w:name="_Toc94184807"/>
      <w:bookmarkStart w:id="183" w:name="_Toc94185452"/>
      <w:r w:rsidRPr="53766C39">
        <w:rPr>
          <w:b/>
          <w:bCs/>
        </w:rPr>
        <w:t>Disability and other characteristics</w:t>
      </w:r>
      <w:bookmarkEnd w:id="179"/>
      <w:bookmarkEnd w:id="180"/>
      <w:bookmarkEnd w:id="181"/>
      <w:bookmarkEnd w:id="182"/>
      <w:bookmarkEnd w:id="183"/>
    </w:p>
    <w:p w14:paraId="0130AAD4" w14:textId="053EAD2C" w:rsidR="001C7DAD" w:rsidRPr="00DC6B4B" w:rsidRDefault="001C7DAD" w:rsidP="00DC6B4B">
      <w:pPr>
        <w:pStyle w:val="ListParagraph"/>
        <w:numPr>
          <w:ilvl w:val="0"/>
          <w:numId w:val="4"/>
        </w:numPr>
        <w:rPr>
          <w:rFonts w:ascii="Calibri" w:eastAsia="Calibri" w:hAnsi="Calibri" w:cs="Calibri"/>
        </w:rPr>
      </w:pPr>
      <w:r w:rsidRPr="00DC6B4B">
        <w:rPr>
          <w:rFonts w:ascii="Calibri" w:eastAsia="Calibri" w:hAnsi="Calibri" w:cs="Calibri"/>
        </w:rPr>
        <w:t>A larger proportion of colleagues with a disability was female (70.3%) than male</w:t>
      </w:r>
      <w:r w:rsidR="00DC6B4B" w:rsidRPr="00DC6B4B">
        <w:rPr>
          <w:rFonts w:ascii="Calibri" w:eastAsia="Calibri" w:hAnsi="Calibri" w:cs="Calibri"/>
        </w:rPr>
        <w:t xml:space="preserve"> </w:t>
      </w:r>
      <w:r w:rsidRPr="00DC6B4B">
        <w:rPr>
          <w:rFonts w:ascii="Calibri" w:eastAsia="Calibri" w:hAnsi="Calibri" w:cs="Calibri"/>
        </w:rPr>
        <w:t>(29.7%).</w:t>
      </w:r>
    </w:p>
    <w:p w14:paraId="43163C71" w14:textId="5E875E64" w:rsidR="001C7DAD" w:rsidRPr="001C7DAD" w:rsidRDefault="001C7DAD" w:rsidP="00DC6B4B">
      <w:pPr>
        <w:pStyle w:val="ListParagraph"/>
        <w:numPr>
          <w:ilvl w:val="0"/>
          <w:numId w:val="4"/>
        </w:numPr>
        <w:rPr>
          <w:rFonts w:ascii="Calibri" w:eastAsia="Calibri" w:hAnsi="Calibri" w:cs="Calibri"/>
        </w:rPr>
      </w:pPr>
      <w:r w:rsidRPr="001C7DAD">
        <w:rPr>
          <w:rFonts w:ascii="Calibri" w:eastAsia="Calibri" w:hAnsi="Calibri" w:cs="Calibri"/>
        </w:rPr>
        <w:t>Disability was lower among colleagues from minoritised ethnic background (1.5%) compared to white colleagues (4.5%).</w:t>
      </w:r>
    </w:p>
    <w:p w14:paraId="2665E3A5" w14:textId="079CAC74" w:rsidR="0C82D7A9" w:rsidRDefault="001C7DAD" w:rsidP="00DC6B4B">
      <w:pPr>
        <w:pStyle w:val="ListParagraph"/>
        <w:numPr>
          <w:ilvl w:val="0"/>
          <w:numId w:val="4"/>
        </w:numPr>
      </w:pPr>
      <w:r w:rsidRPr="001C7DAD">
        <w:rPr>
          <w:rFonts w:ascii="Calibri" w:eastAsia="Calibri" w:hAnsi="Calibri" w:cs="Calibri"/>
        </w:rPr>
        <w:t>Disability and age (see age section)</w:t>
      </w:r>
      <w:r w:rsidR="0C82D7A9" w:rsidRPr="53766C39">
        <w:rPr>
          <w:rFonts w:ascii="Calibri" w:eastAsia="Calibri" w:hAnsi="Calibri" w:cs="Calibri"/>
        </w:rPr>
        <w:t xml:space="preserve">. </w:t>
      </w:r>
    </w:p>
    <w:p w14:paraId="552C1E1E" w14:textId="2FEE5C7D" w:rsidR="71DF1E09" w:rsidRDefault="71DF1E09" w:rsidP="53766C39">
      <w:pPr>
        <w:pStyle w:val="Heading2"/>
        <w:rPr>
          <w:rFonts w:ascii="Calibri Light" w:hAnsi="Calibri Light"/>
          <w:b/>
          <w:bCs/>
        </w:rPr>
      </w:pPr>
      <w:bookmarkStart w:id="184" w:name="_Toc86832935"/>
      <w:bookmarkStart w:id="185" w:name="_Toc94185453"/>
      <w:r w:rsidRPr="53766C39">
        <w:rPr>
          <w:b/>
          <w:bCs/>
        </w:rPr>
        <w:lastRenderedPageBreak/>
        <w:t>Ethnicity</w:t>
      </w:r>
      <w:bookmarkEnd w:id="184"/>
      <w:bookmarkEnd w:id="185"/>
      <w:r w:rsidRPr="53766C39">
        <w:rPr>
          <w:b/>
          <w:bCs/>
        </w:rPr>
        <w:t xml:space="preserve"> </w:t>
      </w:r>
    </w:p>
    <w:p w14:paraId="703CB963" w14:textId="77777777" w:rsidR="001C7DAD" w:rsidRPr="001C7DAD" w:rsidRDefault="001C7DAD" w:rsidP="001C7DAD">
      <w:pPr>
        <w:rPr>
          <w:rFonts w:ascii="Calibri" w:eastAsia="Calibri" w:hAnsi="Calibri" w:cs="Calibri"/>
        </w:rPr>
      </w:pPr>
      <w:r w:rsidRPr="001C7DAD">
        <w:rPr>
          <w:rFonts w:ascii="Calibri" w:eastAsia="Calibri" w:hAnsi="Calibri" w:cs="Calibri"/>
        </w:rPr>
        <w:t>At the 2022 snapshot date, consistent with our 2021 data, the largest combined ethnic grouping was East Asian/East Asian British, including Chinese (3.8%), followed by South &amp; Southeast Asian/South and Southeast Asian British colleagues (2.5%), and any other ethnic group (1.8%). The smallest grouping was Black African/Caribbean/Black British (1.0%).</w:t>
      </w:r>
    </w:p>
    <w:p w14:paraId="6AA71715" w14:textId="44198D63" w:rsidR="001A7419" w:rsidRDefault="004D4E6B" w:rsidP="001C7DAD">
      <w:pPr>
        <w:rPr>
          <w:rFonts w:ascii="Calibri" w:eastAsia="Calibri" w:hAnsi="Calibri" w:cs="Calibri"/>
          <w:b/>
          <w:bCs/>
        </w:rPr>
      </w:pPr>
      <w:r w:rsidRPr="000575F3">
        <w:rPr>
          <w:rFonts w:ascii="Calibri" w:eastAsia="Calibri" w:hAnsi="Calibri" w:cs="Calibri"/>
          <w:b/>
          <w:bCs/>
        </w:rPr>
        <w:t xml:space="preserve">Table: </w:t>
      </w:r>
      <w:r w:rsidR="001C7DAD" w:rsidRPr="000575F3">
        <w:rPr>
          <w:rFonts w:ascii="Calibri" w:eastAsia="Calibri" w:hAnsi="Calibri" w:cs="Calibri"/>
          <w:b/>
          <w:bCs/>
        </w:rPr>
        <w:t xml:space="preserve">Minoritised ethnic groups </w:t>
      </w:r>
      <w:r w:rsidR="00B62C17">
        <w:rPr>
          <w:rFonts w:ascii="Calibri" w:eastAsia="Calibri" w:hAnsi="Calibri" w:cs="Calibri"/>
          <w:b/>
          <w:bCs/>
        </w:rPr>
        <w:t xml:space="preserve">only, </w:t>
      </w:r>
      <w:r w:rsidR="001C7DAD" w:rsidRPr="000575F3">
        <w:rPr>
          <w:rFonts w:ascii="Calibri" w:eastAsia="Calibri" w:hAnsi="Calibri" w:cs="Calibri"/>
          <w:b/>
          <w:bCs/>
        </w:rPr>
        <w:t>2022</w:t>
      </w:r>
      <w:r w:rsidR="004E63FC">
        <w:rPr>
          <w:rFonts w:ascii="Calibri" w:eastAsia="Calibri" w:hAnsi="Calibri" w:cs="Calibri"/>
          <w:b/>
          <w:bCs/>
        </w:rPr>
        <w:t>.</w:t>
      </w:r>
    </w:p>
    <w:tbl>
      <w:tblPr>
        <w:tblStyle w:val="TableGrid"/>
        <w:tblW w:w="7366" w:type="dxa"/>
        <w:tblLayout w:type="fixed"/>
        <w:tblLook w:val="04A0" w:firstRow="1" w:lastRow="0" w:firstColumn="1" w:lastColumn="0" w:noHBand="0" w:noVBand="1"/>
      </w:tblPr>
      <w:tblGrid>
        <w:gridCol w:w="6091"/>
        <w:gridCol w:w="1275"/>
      </w:tblGrid>
      <w:tr w:rsidR="00B62C17" w:rsidRPr="004D4E6B" w14:paraId="43C4C624" w14:textId="77777777" w:rsidTr="00B62C17">
        <w:trPr>
          <w:trHeight w:val="300"/>
        </w:trPr>
        <w:tc>
          <w:tcPr>
            <w:tcW w:w="6091" w:type="dxa"/>
            <w:noWrap/>
            <w:hideMark/>
          </w:tcPr>
          <w:p w14:paraId="2C503DC7" w14:textId="77777777" w:rsidR="00B62C17" w:rsidRPr="00B62C17" w:rsidRDefault="00B62C17" w:rsidP="00B62C17">
            <w:pPr>
              <w:rPr>
                <w:rFonts w:eastAsia="Times New Roman" w:cstheme="minorHAnsi"/>
                <w:color w:val="000000"/>
                <w:lang w:eastAsia="en-GB"/>
              </w:rPr>
            </w:pPr>
            <w:r w:rsidRPr="00B62C17">
              <w:rPr>
                <w:rFonts w:eastAsia="Times New Roman" w:cstheme="minorHAnsi"/>
                <w:b/>
                <w:bCs/>
                <w:color w:val="000000"/>
                <w:lang w:eastAsia="en-GB"/>
              </w:rPr>
              <w:t>Ethnicity</w:t>
            </w:r>
          </w:p>
        </w:tc>
        <w:tc>
          <w:tcPr>
            <w:tcW w:w="1275" w:type="dxa"/>
            <w:noWrap/>
            <w:hideMark/>
          </w:tcPr>
          <w:p w14:paraId="1D5ED702" w14:textId="228F0FCE" w:rsidR="00B62C17" w:rsidRPr="00B62C17" w:rsidRDefault="00B62C17" w:rsidP="00B62C17">
            <w:pPr>
              <w:jc w:val="center"/>
              <w:rPr>
                <w:rFonts w:eastAsia="Times New Roman" w:cstheme="minorHAnsi"/>
                <w:b/>
                <w:bCs/>
                <w:color w:val="000000"/>
                <w:lang w:eastAsia="en-GB"/>
              </w:rPr>
            </w:pPr>
            <w:r w:rsidRPr="00B62C17">
              <w:rPr>
                <w:rFonts w:eastAsia="Times New Roman" w:cstheme="minorHAnsi"/>
                <w:b/>
                <w:bCs/>
                <w:color w:val="000000"/>
                <w:lang w:eastAsia="en-GB"/>
              </w:rPr>
              <w:t>2022</w:t>
            </w:r>
          </w:p>
        </w:tc>
      </w:tr>
      <w:tr w:rsidR="00B62C17" w:rsidRPr="004D4E6B" w14:paraId="6FEA0AD5" w14:textId="77777777" w:rsidTr="00B62C17">
        <w:trPr>
          <w:trHeight w:val="290"/>
        </w:trPr>
        <w:tc>
          <w:tcPr>
            <w:tcW w:w="6091" w:type="dxa"/>
            <w:noWrap/>
          </w:tcPr>
          <w:p w14:paraId="6EF23C6D" w14:textId="7CCACA3E" w:rsidR="00B62C17" w:rsidRPr="00B62C17" w:rsidRDefault="00B62C17" w:rsidP="00B62C17">
            <w:pPr>
              <w:autoSpaceDE w:val="0"/>
              <w:autoSpaceDN w:val="0"/>
              <w:adjustRightInd w:val="0"/>
              <w:rPr>
                <w:rFonts w:eastAsia="Times New Roman" w:cstheme="minorHAnsi"/>
                <w:color w:val="000000"/>
                <w:highlight w:val="yellow"/>
                <w:lang w:eastAsia="en-GB"/>
              </w:rPr>
            </w:pPr>
            <w:r w:rsidRPr="00B62C17">
              <w:rPr>
                <w:rFonts w:cstheme="minorHAnsi"/>
              </w:rPr>
              <w:t>South &amp; Southeast Asian/South and Southeast Asian British</w:t>
            </w:r>
          </w:p>
        </w:tc>
        <w:tc>
          <w:tcPr>
            <w:tcW w:w="1275" w:type="dxa"/>
            <w:noWrap/>
          </w:tcPr>
          <w:p w14:paraId="5E050A45" w14:textId="47EBAED1" w:rsidR="00B62C17" w:rsidRPr="00B62C17" w:rsidRDefault="00B62C17" w:rsidP="00B62C17">
            <w:pPr>
              <w:jc w:val="center"/>
              <w:rPr>
                <w:rFonts w:eastAsia="Times New Roman" w:cstheme="minorHAnsi"/>
                <w:color w:val="000000"/>
                <w:highlight w:val="yellow"/>
                <w:lang w:eastAsia="en-GB"/>
              </w:rPr>
            </w:pPr>
            <w:r w:rsidRPr="00B62C17">
              <w:rPr>
                <w:rFonts w:cstheme="minorHAnsi"/>
              </w:rPr>
              <w:t>23.5%</w:t>
            </w:r>
          </w:p>
        </w:tc>
      </w:tr>
      <w:tr w:rsidR="00B62C17" w:rsidRPr="004D4E6B" w14:paraId="23C6C915" w14:textId="77777777" w:rsidTr="00B62C17">
        <w:trPr>
          <w:trHeight w:val="290"/>
        </w:trPr>
        <w:tc>
          <w:tcPr>
            <w:tcW w:w="6091" w:type="dxa"/>
            <w:noWrap/>
          </w:tcPr>
          <w:p w14:paraId="00AE741C" w14:textId="28227E22" w:rsidR="00B62C17" w:rsidRPr="00B62C17" w:rsidRDefault="00B62C17" w:rsidP="00B62C17">
            <w:pPr>
              <w:autoSpaceDE w:val="0"/>
              <w:autoSpaceDN w:val="0"/>
              <w:adjustRightInd w:val="0"/>
              <w:rPr>
                <w:rFonts w:eastAsia="Times New Roman" w:cstheme="minorHAnsi"/>
                <w:color w:val="000000"/>
                <w:highlight w:val="yellow"/>
                <w:lang w:eastAsia="en-GB"/>
              </w:rPr>
            </w:pPr>
            <w:r w:rsidRPr="00B62C17">
              <w:rPr>
                <w:rFonts w:cstheme="minorHAnsi"/>
              </w:rPr>
              <w:t>East Asian (including Chinese)/ East Asian British</w:t>
            </w:r>
          </w:p>
        </w:tc>
        <w:tc>
          <w:tcPr>
            <w:tcW w:w="1275" w:type="dxa"/>
            <w:noWrap/>
          </w:tcPr>
          <w:p w14:paraId="3FA90AD9" w14:textId="5F2D01E6" w:rsidR="00B62C17" w:rsidRPr="00B62C17" w:rsidRDefault="00B62C17" w:rsidP="00B62C17">
            <w:pPr>
              <w:jc w:val="center"/>
              <w:rPr>
                <w:rFonts w:eastAsia="Times New Roman" w:cstheme="minorHAnsi"/>
                <w:color w:val="000000"/>
                <w:highlight w:val="yellow"/>
                <w:lang w:eastAsia="en-GB"/>
              </w:rPr>
            </w:pPr>
            <w:r w:rsidRPr="00B62C17">
              <w:rPr>
                <w:rFonts w:cstheme="minorHAnsi"/>
              </w:rPr>
              <w:t>35.9%</w:t>
            </w:r>
          </w:p>
        </w:tc>
      </w:tr>
      <w:tr w:rsidR="00B62C17" w:rsidRPr="00727B13" w14:paraId="48D9E923" w14:textId="77777777" w:rsidTr="00B62C17">
        <w:trPr>
          <w:trHeight w:val="290"/>
        </w:trPr>
        <w:tc>
          <w:tcPr>
            <w:tcW w:w="6091" w:type="dxa"/>
            <w:noWrap/>
          </w:tcPr>
          <w:p w14:paraId="1C1CFD47" w14:textId="11A69AC4" w:rsidR="00B62C17" w:rsidRPr="00B62C17" w:rsidRDefault="00B62C17" w:rsidP="00B62C17">
            <w:pPr>
              <w:autoSpaceDE w:val="0"/>
              <w:autoSpaceDN w:val="0"/>
              <w:adjustRightInd w:val="0"/>
              <w:rPr>
                <w:rFonts w:eastAsia="Times New Roman" w:cstheme="minorHAnsi"/>
                <w:color w:val="000000"/>
                <w:highlight w:val="yellow"/>
                <w:lang w:eastAsia="en-GB"/>
              </w:rPr>
            </w:pPr>
            <w:r w:rsidRPr="00B62C17">
              <w:rPr>
                <w:rFonts w:cstheme="minorHAnsi"/>
              </w:rPr>
              <w:t>Black/African/Caribbean/ Black British</w:t>
            </w:r>
          </w:p>
        </w:tc>
        <w:tc>
          <w:tcPr>
            <w:tcW w:w="1275" w:type="dxa"/>
            <w:noWrap/>
          </w:tcPr>
          <w:p w14:paraId="1F2D4DAF" w14:textId="6769FFE1" w:rsidR="00B62C17" w:rsidRPr="00B62C17" w:rsidRDefault="00B62C17" w:rsidP="00B62C17">
            <w:pPr>
              <w:jc w:val="center"/>
              <w:rPr>
                <w:rFonts w:eastAsia="Times New Roman" w:cstheme="minorHAnsi"/>
                <w:color w:val="000000"/>
                <w:highlight w:val="yellow"/>
                <w:lang w:eastAsia="en-GB"/>
              </w:rPr>
            </w:pPr>
            <w:r w:rsidRPr="00B62C17">
              <w:rPr>
                <w:rFonts w:cstheme="minorHAnsi"/>
              </w:rPr>
              <w:t>9.4%</w:t>
            </w:r>
          </w:p>
        </w:tc>
      </w:tr>
      <w:tr w:rsidR="00B62C17" w:rsidRPr="00727B13" w14:paraId="44119D9C" w14:textId="77777777" w:rsidTr="00B62C17">
        <w:trPr>
          <w:trHeight w:val="290"/>
        </w:trPr>
        <w:tc>
          <w:tcPr>
            <w:tcW w:w="6091" w:type="dxa"/>
            <w:noWrap/>
          </w:tcPr>
          <w:p w14:paraId="3CE268C3" w14:textId="5C6AD2AC" w:rsidR="00B62C17" w:rsidRPr="00B62C17" w:rsidRDefault="00B62C17" w:rsidP="00B62C17">
            <w:pPr>
              <w:rPr>
                <w:rFonts w:eastAsia="Times New Roman" w:cstheme="minorHAnsi"/>
                <w:color w:val="000000"/>
                <w:highlight w:val="yellow"/>
                <w:lang w:eastAsia="en-GB"/>
              </w:rPr>
            </w:pPr>
            <w:r w:rsidRPr="00B62C17">
              <w:rPr>
                <w:rFonts w:cstheme="minorHAnsi"/>
              </w:rPr>
              <w:t>Mixed/multiple ethnic groups</w:t>
            </w:r>
          </w:p>
        </w:tc>
        <w:tc>
          <w:tcPr>
            <w:tcW w:w="1275" w:type="dxa"/>
            <w:noWrap/>
          </w:tcPr>
          <w:p w14:paraId="54D9D6C8" w14:textId="149F0F7C" w:rsidR="00B62C17" w:rsidRPr="00B62C17" w:rsidRDefault="00B62C17" w:rsidP="00B62C17">
            <w:pPr>
              <w:jc w:val="center"/>
              <w:rPr>
                <w:rFonts w:eastAsia="Times New Roman" w:cstheme="minorHAnsi"/>
                <w:color w:val="000000"/>
                <w:highlight w:val="yellow"/>
                <w:lang w:eastAsia="en-GB"/>
              </w:rPr>
            </w:pPr>
            <w:r w:rsidRPr="00B62C17">
              <w:rPr>
                <w:rFonts w:cstheme="minorHAnsi"/>
              </w:rPr>
              <w:t>14.3%</w:t>
            </w:r>
          </w:p>
        </w:tc>
      </w:tr>
      <w:tr w:rsidR="00B62C17" w:rsidRPr="00727B13" w14:paraId="708CD367" w14:textId="77777777" w:rsidTr="00B62C17">
        <w:trPr>
          <w:trHeight w:val="290"/>
        </w:trPr>
        <w:tc>
          <w:tcPr>
            <w:tcW w:w="6091" w:type="dxa"/>
            <w:noWrap/>
          </w:tcPr>
          <w:p w14:paraId="2C19BE79" w14:textId="7CEC52BA" w:rsidR="00B62C17" w:rsidRPr="00B62C17" w:rsidRDefault="00B62C17" w:rsidP="00B62C17">
            <w:pPr>
              <w:autoSpaceDE w:val="0"/>
              <w:autoSpaceDN w:val="0"/>
              <w:adjustRightInd w:val="0"/>
              <w:rPr>
                <w:rFonts w:eastAsia="Times New Roman" w:cstheme="minorHAnsi"/>
                <w:color w:val="000000"/>
                <w:highlight w:val="yellow"/>
                <w:lang w:eastAsia="en-GB"/>
              </w:rPr>
            </w:pPr>
            <w:r w:rsidRPr="00B62C17">
              <w:rPr>
                <w:rFonts w:cstheme="minorHAnsi"/>
              </w:rPr>
              <w:t>Any ethnic group not considered above</w:t>
            </w:r>
          </w:p>
        </w:tc>
        <w:tc>
          <w:tcPr>
            <w:tcW w:w="1275" w:type="dxa"/>
            <w:noWrap/>
          </w:tcPr>
          <w:p w14:paraId="72ACF701" w14:textId="28D81D7D" w:rsidR="00B62C17" w:rsidRPr="00B62C17" w:rsidRDefault="00B62C17" w:rsidP="00B62C17">
            <w:pPr>
              <w:jc w:val="center"/>
              <w:rPr>
                <w:rFonts w:eastAsia="Times New Roman" w:cstheme="minorHAnsi"/>
                <w:color w:val="000000"/>
                <w:highlight w:val="yellow"/>
                <w:lang w:eastAsia="en-GB"/>
              </w:rPr>
            </w:pPr>
            <w:r w:rsidRPr="00B62C17">
              <w:rPr>
                <w:rFonts w:cstheme="minorHAnsi"/>
              </w:rPr>
              <w:t>17.0%</w:t>
            </w:r>
          </w:p>
        </w:tc>
      </w:tr>
    </w:tbl>
    <w:p w14:paraId="6FE7A093" w14:textId="24080E0E" w:rsidR="00331B45" w:rsidRDefault="00331B45" w:rsidP="001C7DAD">
      <w:pPr>
        <w:rPr>
          <w:rFonts w:ascii="Calibri" w:eastAsia="Calibri" w:hAnsi="Calibri" w:cs="Calibri"/>
          <w:b/>
          <w:bCs/>
        </w:rPr>
      </w:pPr>
    </w:p>
    <w:p w14:paraId="779365D7" w14:textId="5636AFFC" w:rsidR="004D4E6B" w:rsidRPr="004D4E6B" w:rsidRDefault="004D4E6B" w:rsidP="004D4E6B">
      <w:pPr>
        <w:rPr>
          <w:rFonts w:ascii="Calibri" w:eastAsia="Calibri" w:hAnsi="Calibri" w:cs="Calibri"/>
        </w:rPr>
      </w:pPr>
      <w:r w:rsidRPr="004D4E6B">
        <w:rPr>
          <w:rFonts w:ascii="Calibri" w:eastAsia="Calibri" w:hAnsi="Calibri" w:cs="Calibri"/>
        </w:rPr>
        <w:t>Across our workforce, 10.5% of colleagues identified as being from a minoritised ethnic background</w:t>
      </w:r>
      <w:r>
        <w:rPr>
          <w:rStyle w:val="FootnoteReference"/>
          <w:rFonts w:ascii="Calibri" w:eastAsia="Calibri" w:hAnsi="Calibri" w:cs="Calibri"/>
        </w:rPr>
        <w:footnoteReference w:id="2"/>
      </w:r>
      <w:r w:rsidRPr="004D4E6B">
        <w:rPr>
          <w:rFonts w:ascii="Calibri" w:eastAsia="Calibri" w:hAnsi="Calibri" w:cs="Calibri"/>
        </w:rPr>
        <w:t>, whilst 85% were recorded as white and 3.8% preferred not to provide their ethnicity and for 0.7% the ethnicity is No response provided. The overall proportion of colleagues from minoritised ethnic backgrounds has increased slightly by 1.2% since 2021 and 2.2% since 2017. The percentage of PS colleagues who stated being from a minoritised ethnic background (5.4%) was lower than among academic colleagues (16.6%). The proportion of both academic and PS colleagues from minoritised ethnic backgrounds has increased slightly by 1.3% and 1.0% respectively, since 2021.</w:t>
      </w:r>
    </w:p>
    <w:p w14:paraId="6CB6E483" w14:textId="77777777" w:rsidR="004D4E6B" w:rsidRPr="004D4E6B" w:rsidRDefault="004D4E6B" w:rsidP="004D4E6B">
      <w:pPr>
        <w:rPr>
          <w:rFonts w:ascii="Calibri" w:eastAsia="Calibri" w:hAnsi="Calibri" w:cs="Calibri"/>
        </w:rPr>
      </w:pPr>
      <w:r w:rsidRPr="004D4E6B">
        <w:rPr>
          <w:rFonts w:ascii="Calibri" w:eastAsia="Calibri" w:hAnsi="Calibri" w:cs="Calibri"/>
        </w:rPr>
        <w:t>Across the snapshot data, more academics (5.2%) selected prefer not to say than PS colleagues (2.7%).</w:t>
      </w:r>
    </w:p>
    <w:p w14:paraId="127B5CF2" w14:textId="27A517C7" w:rsidR="00E7541F" w:rsidRPr="000575F3" w:rsidRDefault="004D4E6B" w:rsidP="004D4E6B">
      <w:pPr>
        <w:rPr>
          <w:rFonts w:ascii="Calibri" w:eastAsia="Calibri" w:hAnsi="Calibri" w:cs="Calibri"/>
          <w:b/>
          <w:bCs/>
        </w:rPr>
      </w:pPr>
      <w:r w:rsidRPr="000575F3">
        <w:rPr>
          <w:rFonts w:ascii="Calibri" w:eastAsia="Calibri" w:hAnsi="Calibri" w:cs="Calibri"/>
          <w:b/>
          <w:bCs/>
        </w:rPr>
        <w:t>Table: All colleagues by minoritised and white ethnicity over time.</w:t>
      </w:r>
    </w:p>
    <w:tbl>
      <w:tblPr>
        <w:tblStyle w:val="TableGrid"/>
        <w:tblW w:w="4529" w:type="pct"/>
        <w:tblLook w:val="04A0" w:firstRow="1" w:lastRow="0" w:firstColumn="1" w:lastColumn="0" w:noHBand="0" w:noVBand="1"/>
      </w:tblPr>
      <w:tblGrid>
        <w:gridCol w:w="3053"/>
        <w:gridCol w:w="851"/>
        <w:gridCol w:w="853"/>
        <w:gridCol w:w="851"/>
        <w:gridCol w:w="853"/>
        <w:gridCol w:w="853"/>
        <w:gridCol w:w="853"/>
      </w:tblGrid>
      <w:tr w:rsidR="004E63FC" w:rsidRPr="004D4E6B" w14:paraId="7155D008" w14:textId="359E05C1" w:rsidTr="004E63FC">
        <w:trPr>
          <w:trHeight w:val="300"/>
        </w:trPr>
        <w:tc>
          <w:tcPr>
            <w:tcW w:w="1869" w:type="pct"/>
            <w:noWrap/>
            <w:hideMark/>
          </w:tcPr>
          <w:p w14:paraId="73D350D9" w14:textId="77777777" w:rsidR="004E63FC" w:rsidRPr="00B62C17" w:rsidRDefault="004E63FC" w:rsidP="00906428">
            <w:pPr>
              <w:rPr>
                <w:rFonts w:ascii="Calibri" w:eastAsia="Times New Roman" w:hAnsi="Calibri" w:cs="Calibri"/>
                <w:color w:val="000000"/>
                <w:lang w:eastAsia="en-GB"/>
              </w:rPr>
            </w:pPr>
            <w:r w:rsidRPr="00B62C17">
              <w:rPr>
                <w:rFonts w:ascii="Calibri" w:eastAsia="Times New Roman" w:hAnsi="Calibri" w:cs="Calibri"/>
                <w:b/>
                <w:bCs/>
                <w:color w:val="000000"/>
                <w:lang w:eastAsia="en-GB"/>
              </w:rPr>
              <w:t>Ethnicity</w:t>
            </w:r>
          </w:p>
        </w:tc>
        <w:tc>
          <w:tcPr>
            <w:tcW w:w="521" w:type="pct"/>
            <w:noWrap/>
            <w:hideMark/>
          </w:tcPr>
          <w:p w14:paraId="0CD19B2F" w14:textId="77777777" w:rsidR="004E63FC" w:rsidRPr="00B62C17" w:rsidRDefault="004E63FC" w:rsidP="00906428">
            <w:pPr>
              <w:jc w:val="right"/>
              <w:rPr>
                <w:rFonts w:ascii="Calibri" w:eastAsia="Times New Roman" w:hAnsi="Calibri" w:cs="Calibri"/>
                <w:b/>
                <w:bCs/>
                <w:color w:val="000000"/>
                <w:lang w:eastAsia="en-GB"/>
              </w:rPr>
            </w:pPr>
            <w:r w:rsidRPr="00B62C17">
              <w:rPr>
                <w:rFonts w:ascii="Calibri" w:eastAsia="Times New Roman" w:hAnsi="Calibri" w:cs="Calibri"/>
                <w:b/>
                <w:bCs/>
                <w:color w:val="000000"/>
                <w:lang w:eastAsia="en-GB"/>
              </w:rPr>
              <w:t>2017</w:t>
            </w:r>
          </w:p>
        </w:tc>
        <w:tc>
          <w:tcPr>
            <w:tcW w:w="522" w:type="pct"/>
            <w:noWrap/>
            <w:hideMark/>
          </w:tcPr>
          <w:p w14:paraId="603B0169" w14:textId="77777777" w:rsidR="004E63FC" w:rsidRPr="00B62C17" w:rsidRDefault="004E63FC" w:rsidP="00906428">
            <w:pPr>
              <w:jc w:val="right"/>
              <w:rPr>
                <w:rFonts w:ascii="Calibri" w:eastAsia="Times New Roman" w:hAnsi="Calibri" w:cs="Calibri"/>
                <w:b/>
                <w:bCs/>
                <w:color w:val="000000"/>
                <w:lang w:eastAsia="en-GB"/>
              </w:rPr>
            </w:pPr>
            <w:r w:rsidRPr="00B62C17">
              <w:rPr>
                <w:rFonts w:ascii="Calibri" w:eastAsia="Times New Roman" w:hAnsi="Calibri" w:cs="Calibri"/>
                <w:b/>
                <w:bCs/>
                <w:color w:val="000000"/>
                <w:lang w:eastAsia="en-GB"/>
              </w:rPr>
              <w:t>2018</w:t>
            </w:r>
          </w:p>
        </w:tc>
        <w:tc>
          <w:tcPr>
            <w:tcW w:w="521" w:type="pct"/>
            <w:noWrap/>
            <w:hideMark/>
          </w:tcPr>
          <w:p w14:paraId="52B200D8" w14:textId="77777777" w:rsidR="004E63FC" w:rsidRPr="00B62C17" w:rsidRDefault="004E63FC" w:rsidP="00906428">
            <w:pPr>
              <w:jc w:val="right"/>
              <w:rPr>
                <w:rFonts w:ascii="Calibri" w:eastAsia="Times New Roman" w:hAnsi="Calibri" w:cs="Calibri"/>
                <w:b/>
                <w:bCs/>
                <w:color w:val="000000"/>
                <w:lang w:eastAsia="en-GB"/>
              </w:rPr>
            </w:pPr>
            <w:r w:rsidRPr="00B62C17">
              <w:rPr>
                <w:rFonts w:ascii="Calibri" w:eastAsia="Times New Roman" w:hAnsi="Calibri" w:cs="Calibri"/>
                <w:b/>
                <w:bCs/>
                <w:color w:val="000000"/>
                <w:lang w:eastAsia="en-GB"/>
              </w:rPr>
              <w:t>2019</w:t>
            </w:r>
          </w:p>
        </w:tc>
        <w:tc>
          <w:tcPr>
            <w:tcW w:w="522" w:type="pct"/>
            <w:noWrap/>
            <w:hideMark/>
          </w:tcPr>
          <w:p w14:paraId="11D7474C" w14:textId="77777777" w:rsidR="004E63FC" w:rsidRPr="00B62C17" w:rsidRDefault="004E63FC" w:rsidP="00906428">
            <w:pPr>
              <w:jc w:val="right"/>
              <w:rPr>
                <w:rFonts w:ascii="Calibri" w:eastAsia="Times New Roman" w:hAnsi="Calibri" w:cs="Calibri"/>
                <w:b/>
                <w:bCs/>
                <w:color w:val="000000"/>
                <w:lang w:eastAsia="en-GB"/>
              </w:rPr>
            </w:pPr>
            <w:r w:rsidRPr="00B62C17">
              <w:rPr>
                <w:rFonts w:ascii="Calibri" w:eastAsia="Times New Roman" w:hAnsi="Calibri" w:cs="Calibri"/>
                <w:b/>
                <w:bCs/>
                <w:color w:val="000000"/>
                <w:lang w:eastAsia="en-GB"/>
              </w:rPr>
              <w:t>2020</w:t>
            </w:r>
          </w:p>
        </w:tc>
        <w:tc>
          <w:tcPr>
            <w:tcW w:w="522" w:type="pct"/>
            <w:noWrap/>
            <w:hideMark/>
          </w:tcPr>
          <w:p w14:paraId="0AD6E682" w14:textId="77777777" w:rsidR="004E63FC" w:rsidRPr="00B62C17" w:rsidRDefault="004E63FC" w:rsidP="00906428">
            <w:pPr>
              <w:jc w:val="right"/>
              <w:rPr>
                <w:rFonts w:ascii="Calibri" w:eastAsia="Times New Roman" w:hAnsi="Calibri" w:cs="Calibri"/>
                <w:b/>
                <w:bCs/>
                <w:color w:val="000000"/>
                <w:lang w:eastAsia="en-GB"/>
              </w:rPr>
            </w:pPr>
            <w:r w:rsidRPr="00B62C17">
              <w:rPr>
                <w:rFonts w:ascii="Calibri" w:eastAsia="Times New Roman" w:hAnsi="Calibri" w:cs="Calibri"/>
                <w:b/>
                <w:bCs/>
                <w:color w:val="000000"/>
                <w:lang w:eastAsia="en-GB"/>
              </w:rPr>
              <w:t>2021</w:t>
            </w:r>
          </w:p>
        </w:tc>
        <w:tc>
          <w:tcPr>
            <w:tcW w:w="522" w:type="pct"/>
          </w:tcPr>
          <w:p w14:paraId="07DB8B46" w14:textId="77777777" w:rsidR="004E63FC" w:rsidRPr="00B62C17" w:rsidRDefault="004E63FC" w:rsidP="00B62C17">
            <w:pPr>
              <w:jc w:val="center"/>
              <w:rPr>
                <w:rFonts w:ascii="Calibri" w:eastAsia="Times New Roman" w:hAnsi="Calibri" w:cs="Calibri"/>
                <w:color w:val="000000"/>
                <w:lang w:eastAsia="en-GB"/>
              </w:rPr>
            </w:pPr>
            <w:r w:rsidRPr="00B62C17">
              <w:rPr>
                <w:rFonts w:ascii="Calibri" w:eastAsia="Times New Roman" w:hAnsi="Calibri" w:cs="Calibri"/>
                <w:b/>
                <w:bCs/>
                <w:color w:val="000000"/>
                <w:lang w:eastAsia="en-GB"/>
              </w:rPr>
              <w:t>2022</w:t>
            </w:r>
          </w:p>
        </w:tc>
      </w:tr>
      <w:tr w:rsidR="004E63FC" w:rsidRPr="004D4E6B" w14:paraId="02844716" w14:textId="77777777" w:rsidTr="004E63FC">
        <w:trPr>
          <w:trHeight w:val="300"/>
        </w:trPr>
        <w:tc>
          <w:tcPr>
            <w:tcW w:w="1869" w:type="pct"/>
            <w:noWrap/>
          </w:tcPr>
          <w:p w14:paraId="198F33CB" w14:textId="77777777" w:rsidR="004E63FC" w:rsidRPr="00B62C17" w:rsidRDefault="004E63FC" w:rsidP="004E63FC">
            <w:pPr>
              <w:rPr>
                <w:rFonts w:ascii="Calibri" w:eastAsia="Times New Roman" w:hAnsi="Calibri" w:cs="Calibri"/>
                <w:b/>
                <w:bCs/>
                <w:color w:val="000000"/>
                <w:lang w:eastAsia="en-GB"/>
              </w:rPr>
            </w:pPr>
          </w:p>
        </w:tc>
        <w:tc>
          <w:tcPr>
            <w:tcW w:w="521" w:type="pct"/>
            <w:noWrap/>
          </w:tcPr>
          <w:p w14:paraId="25C2A254" w14:textId="27A7B8C9" w:rsidR="004E63FC" w:rsidRPr="00B62C17" w:rsidRDefault="004E63FC" w:rsidP="004E63FC">
            <w:pPr>
              <w:jc w:val="center"/>
              <w:rPr>
                <w:rFonts w:ascii="Calibri" w:eastAsia="Times New Roman" w:hAnsi="Calibri" w:cs="Calibri"/>
                <w:color w:val="000000"/>
                <w:lang w:eastAsia="en-GB"/>
              </w:rPr>
            </w:pPr>
            <w:r w:rsidRPr="00B62C17">
              <w:rPr>
                <w:rFonts w:ascii="Calibri" w:eastAsia="Times New Roman" w:hAnsi="Calibri" w:cs="Calibri"/>
                <w:color w:val="000000"/>
                <w:lang w:eastAsia="en-GB"/>
              </w:rPr>
              <w:t>%</w:t>
            </w:r>
          </w:p>
        </w:tc>
        <w:tc>
          <w:tcPr>
            <w:tcW w:w="522" w:type="pct"/>
            <w:noWrap/>
          </w:tcPr>
          <w:p w14:paraId="36DA311B" w14:textId="6868CDC9" w:rsidR="004E63FC" w:rsidRPr="00B62C17" w:rsidRDefault="004E63FC" w:rsidP="004E63FC">
            <w:pPr>
              <w:jc w:val="center"/>
              <w:rPr>
                <w:rFonts w:ascii="Calibri" w:eastAsia="Times New Roman" w:hAnsi="Calibri" w:cs="Calibri"/>
                <w:color w:val="000000"/>
                <w:lang w:eastAsia="en-GB"/>
              </w:rPr>
            </w:pPr>
            <w:r w:rsidRPr="00B62C17">
              <w:rPr>
                <w:rFonts w:ascii="Calibri" w:eastAsia="Times New Roman" w:hAnsi="Calibri" w:cs="Calibri"/>
                <w:color w:val="000000"/>
                <w:lang w:eastAsia="en-GB"/>
              </w:rPr>
              <w:t>%</w:t>
            </w:r>
          </w:p>
        </w:tc>
        <w:tc>
          <w:tcPr>
            <w:tcW w:w="521" w:type="pct"/>
            <w:noWrap/>
          </w:tcPr>
          <w:p w14:paraId="6B9AA250" w14:textId="17AB95E7" w:rsidR="004E63FC" w:rsidRPr="00B62C17" w:rsidRDefault="004E63FC" w:rsidP="004E63FC">
            <w:pPr>
              <w:jc w:val="center"/>
              <w:rPr>
                <w:rFonts w:ascii="Calibri" w:eastAsia="Times New Roman" w:hAnsi="Calibri" w:cs="Calibri"/>
                <w:color w:val="000000"/>
                <w:lang w:eastAsia="en-GB"/>
              </w:rPr>
            </w:pPr>
            <w:r w:rsidRPr="00B62C17">
              <w:rPr>
                <w:rFonts w:ascii="Calibri" w:eastAsia="Times New Roman" w:hAnsi="Calibri" w:cs="Calibri"/>
                <w:color w:val="000000"/>
                <w:lang w:eastAsia="en-GB"/>
              </w:rPr>
              <w:t>%</w:t>
            </w:r>
          </w:p>
        </w:tc>
        <w:tc>
          <w:tcPr>
            <w:tcW w:w="522" w:type="pct"/>
            <w:noWrap/>
          </w:tcPr>
          <w:p w14:paraId="2651B82C" w14:textId="2CA27864" w:rsidR="004E63FC" w:rsidRPr="00B62C17" w:rsidRDefault="004E63FC" w:rsidP="004E63FC">
            <w:pPr>
              <w:jc w:val="center"/>
              <w:rPr>
                <w:rFonts w:ascii="Calibri" w:eastAsia="Times New Roman" w:hAnsi="Calibri" w:cs="Calibri"/>
                <w:color w:val="000000"/>
                <w:lang w:eastAsia="en-GB"/>
              </w:rPr>
            </w:pPr>
            <w:r w:rsidRPr="00B62C17">
              <w:rPr>
                <w:rFonts w:ascii="Calibri" w:eastAsia="Times New Roman" w:hAnsi="Calibri" w:cs="Calibri"/>
                <w:color w:val="000000"/>
                <w:lang w:eastAsia="en-GB"/>
              </w:rPr>
              <w:t>%</w:t>
            </w:r>
          </w:p>
        </w:tc>
        <w:tc>
          <w:tcPr>
            <w:tcW w:w="522" w:type="pct"/>
            <w:noWrap/>
          </w:tcPr>
          <w:p w14:paraId="2813330C" w14:textId="6FF15404" w:rsidR="004E63FC" w:rsidRPr="00B62C17" w:rsidRDefault="004E63FC" w:rsidP="004E63FC">
            <w:pPr>
              <w:jc w:val="center"/>
              <w:rPr>
                <w:rFonts w:ascii="Calibri" w:eastAsia="Times New Roman" w:hAnsi="Calibri" w:cs="Calibri"/>
                <w:color w:val="000000"/>
                <w:lang w:eastAsia="en-GB"/>
              </w:rPr>
            </w:pPr>
            <w:r w:rsidRPr="00B62C17">
              <w:rPr>
                <w:rFonts w:ascii="Calibri" w:eastAsia="Times New Roman" w:hAnsi="Calibri" w:cs="Calibri"/>
                <w:color w:val="000000"/>
                <w:lang w:eastAsia="en-GB"/>
              </w:rPr>
              <w:t>%</w:t>
            </w:r>
          </w:p>
        </w:tc>
        <w:tc>
          <w:tcPr>
            <w:tcW w:w="522" w:type="pct"/>
          </w:tcPr>
          <w:p w14:paraId="039A1CA5" w14:textId="1BEAD68C" w:rsidR="004E63FC" w:rsidRPr="00B62C17" w:rsidRDefault="004E63FC" w:rsidP="004E63FC">
            <w:pPr>
              <w:jc w:val="center"/>
              <w:rPr>
                <w:rFonts w:ascii="Calibri" w:eastAsia="Times New Roman" w:hAnsi="Calibri" w:cs="Calibri"/>
                <w:color w:val="000000"/>
                <w:lang w:eastAsia="en-GB"/>
              </w:rPr>
            </w:pPr>
            <w:r w:rsidRPr="00B62C17">
              <w:rPr>
                <w:rFonts w:ascii="Calibri" w:eastAsia="Times New Roman" w:hAnsi="Calibri" w:cs="Calibri"/>
                <w:color w:val="000000"/>
                <w:lang w:eastAsia="en-GB"/>
              </w:rPr>
              <w:t>%</w:t>
            </w:r>
          </w:p>
        </w:tc>
      </w:tr>
      <w:tr w:rsidR="004E63FC" w:rsidRPr="004D4E6B" w14:paraId="6F007A54" w14:textId="27960063" w:rsidTr="004E63FC">
        <w:trPr>
          <w:trHeight w:val="290"/>
        </w:trPr>
        <w:tc>
          <w:tcPr>
            <w:tcW w:w="1869" w:type="pct"/>
            <w:noWrap/>
            <w:hideMark/>
          </w:tcPr>
          <w:p w14:paraId="041AB5B3" w14:textId="77777777" w:rsidR="004E63FC" w:rsidRPr="00B62C17" w:rsidRDefault="004E63FC" w:rsidP="004E63FC">
            <w:pPr>
              <w:rPr>
                <w:rFonts w:ascii="Calibri" w:eastAsia="Times New Roman" w:hAnsi="Calibri" w:cs="Calibri"/>
                <w:color w:val="000000"/>
                <w:lang w:eastAsia="en-GB"/>
              </w:rPr>
            </w:pPr>
            <w:r w:rsidRPr="00B62C17">
              <w:rPr>
                <w:rFonts w:ascii="Calibri" w:eastAsia="Times New Roman" w:hAnsi="Calibri" w:cs="Calibri"/>
                <w:color w:val="000000"/>
                <w:lang w:eastAsia="en-GB"/>
              </w:rPr>
              <w:t>White</w:t>
            </w:r>
          </w:p>
        </w:tc>
        <w:tc>
          <w:tcPr>
            <w:tcW w:w="521" w:type="pct"/>
            <w:noWrap/>
            <w:hideMark/>
          </w:tcPr>
          <w:p w14:paraId="0FB951FF" w14:textId="77777777" w:rsidR="004E63FC" w:rsidRPr="00B62C17" w:rsidRDefault="004E63FC" w:rsidP="004E63FC">
            <w:pPr>
              <w:jc w:val="center"/>
              <w:rPr>
                <w:rFonts w:ascii="Calibri" w:eastAsia="Times New Roman" w:hAnsi="Calibri" w:cs="Calibri"/>
                <w:color w:val="000000"/>
                <w:lang w:eastAsia="en-GB"/>
              </w:rPr>
            </w:pPr>
            <w:r w:rsidRPr="00B62C17">
              <w:rPr>
                <w:rFonts w:ascii="Calibri" w:eastAsia="Times New Roman" w:hAnsi="Calibri" w:cs="Calibri"/>
                <w:color w:val="000000"/>
                <w:lang w:eastAsia="en-GB"/>
              </w:rPr>
              <w:t>88.9%</w:t>
            </w:r>
          </w:p>
        </w:tc>
        <w:tc>
          <w:tcPr>
            <w:tcW w:w="522" w:type="pct"/>
            <w:noWrap/>
            <w:hideMark/>
          </w:tcPr>
          <w:p w14:paraId="538B5F6E" w14:textId="77777777" w:rsidR="004E63FC" w:rsidRPr="00B62C17" w:rsidRDefault="004E63FC" w:rsidP="004E63FC">
            <w:pPr>
              <w:jc w:val="center"/>
              <w:rPr>
                <w:rFonts w:ascii="Calibri" w:eastAsia="Times New Roman" w:hAnsi="Calibri" w:cs="Calibri"/>
                <w:color w:val="000000"/>
                <w:lang w:eastAsia="en-GB"/>
              </w:rPr>
            </w:pPr>
            <w:r w:rsidRPr="00B62C17">
              <w:rPr>
                <w:rFonts w:ascii="Calibri" w:eastAsia="Times New Roman" w:hAnsi="Calibri" w:cs="Calibri"/>
                <w:color w:val="000000"/>
                <w:lang w:eastAsia="en-GB"/>
              </w:rPr>
              <w:t>88.7%</w:t>
            </w:r>
          </w:p>
        </w:tc>
        <w:tc>
          <w:tcPr>
            <w:tcW w:w="521" w:type="pct"/>
            <w:noWrap/>
            <w:hideMark/>
          </w:tcPr>
          <w:p w14:paraId="24D8D6DB" w14:textId="77777777" w:rsidR="004E63FC" w:rsidRPr="00B62C17" w:rsidRDefault="004E63FC" w:rsidP="004E63FC">
            <w:pPr>
              <w:jc w:val="center"/>
              <w:rPr>
                <w:rFonts w:ascii="Calibri" w:eastAsia="Times New Roman" w:hAnsi="Calibri" w:cs="Calibri"/>
                <w:color w:val="000000"/>
                <w:lang w:eastAsia="en-GB"/>
              </w:rPr>
            </w:pPr>
            <w:r w:rsidRPr="00B62C17">
              <w:rPr>
                <w:rFonts w:ascii="Calibri" w:eastAsia="Times New Roman" w:hAnsi="Calibri" w:cs="Calibri"/>
                <w:color w:val="000000"/>
                <w:lang w:eastAsia="en-GB"/>
              </w:rPr>
              <w:t>88.3%</w:t>
            </w:r>
          </w:p>
        </w:tc>
        <w:tc>
          <w:tcPr>
            <w:tcW w:w="522" w:type="pct"/>
            <w:noWrap/>
            <w:hideMark/>
          </w:tcPr>
          <w:p w14:paraId="2DB74582" w14:textId="77777777" w:rsidR="004E63FC" w:rsidRPr="00B62C17" w:rsidRDefault="004E63FC" w:rsidP="004E63FC">
            <w:pPr>
              <w:jc w:val="center"/>
              <w:rPr>
                <w:rFonts w:ascii="Calibri" w:eastAsia="Times New Roman" w:hAnsi="Calibri" w:cs="Calibri"/>
                <w:color w:val="000000"/>
                <w:lang w:eastAsia="en-GB"/>
              </w:rPr>
            </w:pPr>
            <w:r w:rsidRPr="00B62C17">
              <w:rPr>
                <w:rFonts w:ascii="Calibri" w:eastAsia="Times New Roman" w:hAnsi="Calibri" w:cs="Calibri"/>
                <w:color w:val="000000"/>
                <w:lang w:eastAsia="en-GB"/>
              </w:rPr>
              <w:t>87.9%</w:t>
            </w:r>
          </w:p>
        </w:tc>
        <w:tc>
          <w:tcPr>
            <w:tcW w:w="522" w:type="pct"/>
            <w:noWrap/>
            <w:hideMark/>
          </w:tcPr>
          <w:p w14:paraId="6AF25DAC" w14:textId="77777777" w:rsidR="004E63FC" w:rsidRPr="00B62C17" w:rsidRDefault="004E63FC" w:rsidP="004E63FC">
            <w:pPr>
              <w:jc w:val="center"/>
              <w:rPr>
                <w:rFonts w:ascii="Calibri" w:eastAsia="Times New Roman" w:hAnsi="Calibri" w:cs="Calibri"/>
                <w:color w:val="000000"/>
                <w:lang w:eastAsia="en-GB"/>
              </w:rPr>
            </w:pPr>
            <w:r w:rsidRPr="00B62C17">
              <w:rPr>
                <w:rFonts w:ascii="Calibri" w:eastAsia="Times New Roman" w:hAnsi="Calibri" w:cs="Calibri"/>
                <w:color w:val="000000"/>
                <w:lang w:eastAsia="en-GB"/>
              </w:rPr>
              <w:t>86.7%</w:t>
            </w:r>
          </w:p>
        </w:tc>
        <w:tc>
          <w:tcPr>
            <w:tcW w:w="522" w:type="pct"/>
          </w:tcPr>
          <w:p w14:paraId="2FFD772F" w14:textId="1B3577F4" w:rsidR="004E63FC" w:rsidRPr="00B62C17" w:rsidRDefault="004E63FC" w:rsidP="004E63FC">
            <w:pPr>
              <w:jc w:val="center"/>
              <w:rPr>
                <w:rFonts w:ascii="Calibri" w:eastAsia="Times New Roman" w:hAnsi="Calibri" w:cs="Calibri"/>
                <w:color w:val="000000"/>
                <w:lang w:eastAsia="en-GB"/>
              </w:rPr>
            </w:pPr>
            <w:r w:rsidRPr="00B62C17">
              <w:rPr>
                <w:rFonts w:ascii="Calibri" w:eastAsia="Times New Roman" w:hAnsi="Calibri" w:cs="Calibri"/>
                <w:color w:val="000000"/>
                <w:lang w:eastAsia="en-GB"/>
              </w:rPr>
              <w:t>85.0%</w:t>
            </w:r>
          </w:p>
        </w:tc>
      </w:tr>
      <w:tr w:rsidR="004E63FC" w:rsidRPr="004D4E6B" w14:paraId="50ABADE8" w14:textId="60D81C14" w:rsidTr="004E63FC">
        <w:trPr>
          <w:trHeight w:val="290"/>
        </w:trPr>
        <w:tc>
          <w:tcPr>
            <w:tcW w:w="1869" w:type="pct"/>
            <w:noWrap/>
            <w:hideMark/>
          </w:tcPr>
          <w:p w14:paraId="0061E99F" w14:textId="77777777" w:rsidR="004E63FC" w:rsidRPr="00B62C17" w:rsidRDefault="004E63FC" w:rsidP="004E63FC">
            <w:pPr>
              <w:rPr>
                <w:rFonts w:ascii="Calibri" w:eastAsia="Times New Roman" w:hAnsi="Calibri" w:cs="Calibri"/>
                <w:color w:val="000000"/>
                <w:lang w:eastAsia="en-GB"/>
              </w:rPr>
            </w:pPr>
            <w:r w:rsidRPr="00B62C17">
              <w:rPr>
                <w:rFonts w:ascii="Calibri" w:eastAsia="Times New Roman" w:hAnsi="Calibri" w:cs="Calibri"/>
                <w:color w:val="000000"/>
                <w:lang w:eastAsia="en-GB"/>
              </w:rPr>
              <w:t>Minoritised ethnic backgrounds</w:t>
            </w:r>
          </w:p>
        </w:tc>
        <w:tc>
          <w:tcPr>
            <w:tcW w:w="521" w:type="pct"/>
            <w:noWrap/>
            <w:hideMark/>
          </w:tcPr>
          <w:p w14:paraId="474C2B0A" w14:textId="77777777" w:rsidR="004E63FC" w:rsidRPr="00B62C17" w:rsidRDefault="004E63FC" w:rsidP="004E63FC">
            <w:pPr>
              <w:jc w:val="center"/>
              <w:rPr>
                <w:rFonts w:ascii="Calibri" w:eastAsia="Times New Roman" w:hAnsi="Calibri" w:cs="Calibri"/>
                <w:color w:val="000000"/>
                <w:lang w:eastAsia="en-GB"/>
              </w:rPr>
            </w:pPr>
            <w:r w:rsidRPr="00B62C17">
              <w:rPr>
                <w:rFonts w:ascii="Calibri" w:eastAsia="Times New Roman" w:hAnsi="Calibri" w:cs="Calibri"/>
                <w:color w:val="000000"/>
                <w:lang w:eastAsia="en-GB"/>
              </w:rPr>
              <w:t>8.3%</w:t>
            </w:r>
          </w:p>
        </w:tc>
        <w:tc>
          <w:tcPr>
            <w:tcW w:w="522" w:type="pct"/>
            <w:noWrap/>
            <w:hideMark/>
          </w:tcPr>
          <w:p w14:paraId="501BF3E7" w14:textId="77777777" w:rsidR="004E63FC" w:rsidRPr="00B62C17" w:rsidRDefault="004E63FC" w:rsidP="004E63FC">
            <w:pPr>
              <w:jc w:val="center"/>
              <w:rPr>
                <w:rFonts w:ascii="Calibri" w:eastAsia="Times New Roman" w:hAnsi="Calibri" w:cs="Calibri"/>
                <w:color w:val="000000"/>
                <w:lang w:eastAsia="en-GB"/>
              </w:rPr>
            </w:pPr>
            <w:r w:rsidRPr="00B62C17">
              <w:rPr>
                <w:rFonts w:ascii="Calibri" w:eastAsia="Times New Roman" w:hAnsi="Calibri" w:cs="Calibri"/>
                <w:color w:val="000000"/>
                <w:lang w:eastAsia="en-GB"/>
              </w:rPr>
              <w:t>8.4%</w:t>
            </w:r>
          </w:p>
        </w:tc>
        <w:tc>
          <w:tcPr>
            <w:tcW w:w="521" w:type="pct"/>
            <w:noWrap/>
            <w:hideMark/>
          </w:tcPr>
          <w:p w14:paraId="5B68C1E7" w14:textId="77777777" w:rsidR="004E63FC" w:rsidRPr="00B62C17" w:rsidRDefault="004E63FC" w:rsidP="004E63FC">
            <w:pPr>
              <w:jc w:val="center"/>
              <w:rPr>
                <w:rFonts w:ascii="Calibri" w:eastAsia="Times New Roman" w:hAnsi="Calibri" w:cs="Calibri"/>
                <w:color w:val="000000"/>
                <w:lang w:eastAsia="en-GB"/>
              </w:rPr>
            </w:pPr>
            <w:r w:rsidRPr="00B62C17">
              <w:rPr>
                <w:rFonts w:ascii="Calibri" w:eastAsia="Times New Roman" w:hAnsi="Calibri" w:cs="Calibri"/>
                <w:color w:val="000000"/>
                <w:lang w:eastAsia="en-GB"/>
              </w:rPr>
              <w:t>8.8%</w:t>
            </w:r>
          </w:p>
        </w:tc>
        <w:tc>
          <w:tcPr>
            <w:tcW w:w="522" w:type="pct"/>
            <w:noWrap/>
            <w:hideMark/>
          </w:tcPr>
          <w:p w14:paraId="5CE3A4B7" w14:textId="77777777" w:rsidR="004E63FC" w:rsidRPr="00B62C17" w:rsidRDefault="004E63FC" w:rsidP="004E63FC">
            <w:pPr>
              <w:jc w:val="center"/>
              <w:rPr>
                <w:rFonts w:ascii="Calibri" w:eastAsia="Times New Roman" w:hAnsi="Calibri" w:cs="Calibri"/>
                <w:color w:val="000000"/>
                <w:lang w:eastAsia="en-GB"/>
              </w:rPr>
            </w:pPr>
            <w:r w:rsidRPr="00B62C17">
              <w:rPr>
                <w:rFonts w:ascii="Calibri" w:eastAsia="Times New Roman" w:hAnsi="Calibri" w:cs="Calibri"/>
                <w:color w:val="000000"/>
                <w:lang w:eastAsia="en-GB"/>
              </w:rPr>
              <w:t>8.9%</w:t>
            </w:r>
          </w:p>
        </w:tc>
        <w:tc>
          <w:tcPr>
            <w:tcW w:w="522" w:type="pct"/>
            <w:noWrap/>
            <w:hideMark/>
          </w:tcPr>
          <w:p w14:paraId="2432EC9B" w14:textId="77777777" w:rsidR="004E63FC" w:rsidRPr="00B62C17" w:rsidRDefault="004E63FC" w:rsidP="004E63FC">
            <w:pPr>
              <w:jc w:val="center"/>
              <w:rPr>
                <w:rFonts w:ascii="Calibri" w:eastAsia="Times New Roman" w:hAnsi="Calibri" w:cs="Calibri"/>
                <w:color w:val="000000"/>
                <w:lang w:eastAsia="en-GB"/>
              </w:rPr>
            </w:pPr>
            <w:r w:rsidRPr="00B62C17">
              <w:rPr>
                <w:rFonts w:ascii="Calibri" w:eastAsia="Times New Roman" w:hAnsi="Calibri" w:cs="Calibri"/>
                <w:color w:val="000000"/>
                <w:lang w:eastAsia="en-GB"/>
              </w:rPr>
              <w:t>9.3%</w:t>
            </w:r>
          </w:p>
        </w:tc>
        <w:tc>
          <w:tcPr>
            <w:tcW w:w="522" w:type="pct"/>
          </w:tcPr>
          <w:p w14:paraId="7A4AC644" w14:textId="6D477CDE" w:rsidR="004E63FC" w:rsidRPr="00B62C17" w:rsidRDefault="004E63FC" w:rsidP="004E63FC">
            <w:pPr>
              <w:jc w:val="center"/>
              <w:rPr>
                <w:rFonts w:ascii="Calibri" w:eastAsia="Times New Roman" w:hAnsi="Calibri" w:cs="Calibri"/>
                <w:color w:val="000000"/>
                <w:lang w:eastAsia="en-GB"/>
              </w:rPr>
            </w:pPr>
            <w:r w:rsidRPr="00B62C17">
              <w:rPr>
                <w:rFonts w:ascii="Calibri" w:eastAsia="Times New Roman" w:hAnsi="Calibri" w:cs="Calibri"/>
                <w:color w:val="000000"/>
                <w:lang w:eastAsia="en-GB"/>
              </w:rPr>
              <w:t>10.5%</w:t>
            </w:r>
          </w:p>
        </w:tc>
      </w:tr>
      <w:tr w:rsidR="004E63FC" w:rsidRPr="00727B13" w14:paraId="274B288A" w14:textId="46AD1419" w:rsidTr="004E63FC">
        <w:trPr>
          <w:trHeight w:val="290"/>
        </w:trPr>
        <w:tc>
          <w:tcPr>
            <w:tcW w:w="1869" w:type="pct"/>
            <w:noWrap/>
            <w:hideMark/>
          </w:tcPr>
          <w:p w14:paraId="653B6E94" w14:textId="77777777" w:rsidR="004E63FC" w:rsidRPr="00B62C17" w:rsidRDefault="004E63FC" w:rsidP="004E63FC">
            <w:pPr>
              <w:rPr>
                <w:rFonts w:ascii="Calibri" w:eastAsia="Times New Roman" w:hAnsi="Calibri" w:cs="Calibri"/>
                <w:color w:val="000000"/>
                <w:lang w:eastAsia="en-GB"/>
              </w:rPr>
            </w:pPr>
            <w:r w:rsidRPr="00B62C17">
              <w:rPr>
                <w:rFonts w:ascii="Calibri" w:eastAsia="Times New Roman" w:hAnsi="Calibri" w:cs="Calibri"/>
                <w:color w:val="000000"/>
                <w:lang w:eastAsia="en-GB"/>
              </w:rPr>
              <w:t>Prefer not to say</w:t>
            </w:r>
          </w:p>
        </w:tc>
        <w:tc>
          <w:tcPr>
            <w:tcW w:w="521" w:type="pct"/>
            <w:noWrap/>
            <w:hideMark/>
          </w:tcPr>
          <w:p w14:paraId="340E00AE" w14:textId="77777777" w:rsidR="004E63FC" w:rsidRPr="00B62C17" w:rsidRDefault="004E63FC" w:rsidP="004E63FC">
            <w:pPr>
              <w:jc w:val="center"/>
              <w:rPr>
                <w:rFonts w:ascii="Calibri" w:eastAsia="Times New Roman" w:hAnsi="Calibri" w:cs="Calibri"/>
                <w:color w:val="000000"/>
                <w:lang w:eastAsia="en-GB"/>
              </w:rPr>
            </w:pPr>
            <w:r w:rsidRPr="00B62C17">
              <w:rPr>
                <w:rFonts w:ascii="Calibri" w:eastAsia="Times New Roman" w:hAnsi="Calibri" w:cs="Calibri"/>
                <w:color w:val="000000"/>
                <w:lang w:eastAsia="en-GB"/>
              </w:rPr>
              <w:t>2.8%</w:t>
            </w:r>
          </w:p>
        </w:tc>
        <w:tc>
          <w:tcPr>
            <w:tcW w:w="522" w:type="pct"/>
            <w:noWrap/>
            <w:hideMark/>
          </w:tcPr>
          <w:p w14:paraId="183CCFAE" w14:textId="77777777" w:rsidR="004E63FC" w:rsidRPr="00B62C17" w:rsidRDefault="004E63FC" w:rsidP="004E63FC">
            <w:pPr>
              <w:jc w:val="center"/>
              <w:rPr>
                <w:rFonts w:ascii="Calibri" w:eastAsia="Times New Roman" w:hAnsi="Calibri" w:cs="Calibri"/>
                <w:color w:val="000000"/>
                <w:lang w:eastAsia="en-GB"/>
              </w:rPr>
            </w:pPr>
            <w:r w:rsidRPr="00B62C17">
              <w:rPr>
                <w:rFonts w:ascii="Calibri" w:eastAsia="Times New Roman" w:hAnsi="Calibri" w:cs="Calibri"/>
                <w:color w:val="000000"/>
                <w:lang w:eastAsia="en-GB"/>
              </w:rPr>
              <w:t>2.9%</w:t>
            </w:r>
          </w:p>
        </w:tc>
        <w:tc>
          <w:tcPr>
            <w:tcW w:w="521" w:type="pct"/>
            <w:noWrap/>
            <w:hideMark/>
          </w:tcPr>
          <w:p w14:paraId="6FF81016" w14:textId="77777777" w:rsidR="004E63FC" w:rsidRPr="00B62C17" w:rsidRDefault="004E63FC" w:rsidP="004E63FC">
            <w:pPr>
              <w:jc w:val="center"/>
              <w:rPr>
                <w:rFonts w:ascii="Calibri" w:eastAsia="Times New Roman" w:hAnsi="Calibri" w:cs="Calibri"/>
                <w:color w:val="000000"/>
                <w:lang w:eastAsia="en-GB"/>
              </w:rPr>
            </w:pPr>
            <w:r w:rsidRPr="00B62C17">
              <w:rPr>
                <w:rFonts w:ascii="Calibri" w:eastAsia="Times New Roman" w:hAnsi="Calibri" w:cs="Calibri"/>
                <w:color w:val="000000"/>
                <w:lang w:eastAsia="en-GB"/>
              </w:rPr>
              <w:t>3.0%</w:t>
            </w:r>
          </w:p>
        </w:tc>
        <w:tc>
          <w:tcPr>
            <w:tcW w:w="522" w:type="pct"/>
            <w:noWrap/>
            <w:hideMark/>
          </w:tcPr>
          <w:p w14:paraId="1A8E1FF2" w14:textId="77777777" w:rsidR="004E63FC" w:rsidRPr="00B62C17" w:rsidRDefault="004E63FC" w:rsidP="004E63FC">
            <w:pPr>
              <w:jc w:val="center"/>
              <w:rPr>
                <w:rFonts w:ascii="Calibri" w:eastAsia="Times New Roman" w:hAnsi="Calibri" w:cs="Calibri"/>
                <w:color w:val="000000"/>
                <w:lang w:eastAsia="en-GB"/>
              </w:rPr>
            </w:pPr>
            <w:r w:rsidRPr="00B62C17">
              <w:rPr>
                <w:rFonts w:ascii="Calibri" w:eastAsia="Times New Roman" w:hAnsi="Calibri" w:cs="Calibri"/>
                <w:color w:val="000000"/>
                <w:lang w:eastAsia="en-GB"/>
              </w:rPr>
              <w:t>3.2%</w:t>
            </w:r>
          </w:p>
        </w:tc>
        <w:tc>
          <w:tcPr>
            <w:tcW w:w="522" w:type="pct"/>
            <w:noWrap/>
            <w:hideMark/>
          </w:tcPr>
          <w:p w14:paraId="596C3571" w14:textId="77777777" w:rsidR="004E63FC" w:rsidRPr="00B62C17" w:rsidRDefault="004E63FC" w:rsidP="004E63FC">
            <w:pPr>
              <w:jc w:val="center"/>
              <w:rPr>
                <w:rFonts w:ascii="Calibri" w:eastAsia="Times New Roman" w:hAnsi="Calibri" w:cs="Calibri"/>
                <w:color w:val="000000"/>
                <w:lang w:eastAsia="en-GB"/>
              </w:rPr>
            </w:pPr>
            <w:r w:rsidRPr="00B62C17">
              <w:rPr>
                <w:rFonts w:ascii="Calibri" w:eastAsia="Times New Roman" w:hAnsi="Calibri" w:cs="Calibri"/>
                <w:color w:val="000000"/>
                <w:lang w:eastAsia="en-GB"/>
              </w:rPr>
              <w:t>4.0%</w:t>
            </w:r>
          </w:p>
        </w:tc>
        <w:tc>
          <w:tcPr>
            <w:tcW w:w="522" w:type="pct"/>
          </w:tcPr>
          <w:p w14:paraId="56F5B826" w14:textId="6A8E3773" w:rsidR="004E63FC" w:rsidRPr="00B62C17" w:rsidRDefault="004E63FC" w:rsidP="004E63FC">
            <w:pPr>
              <w:jc w:val="center"/>
              <w:rPr>
                <w:rFonts w:ascii="Calibri" w:eastAsia="Times New Roman" w:hAnsi="Calibri" w:cs="Calibri"/>
                <w:color w:val="000000"/>
                <w:lang w:eastAsia="en-GB"/>
              </w:rPr>
            </w:pPr>
            <w:r w:rsidRPr="00B62C17">
              <w:rPr>
                <w:rFonts w:ascii="Calibri" w:eastAsia="Times New Roman" w:hAnsi="Calibri" w:cs="Calibri"/>
                <w:color w:val="000000"/>
                <w:lang w:eastAsia="en-GB"/>
              </w:rPr>
              <w:t>3.8%</w:t>
            </w:r>
          </w:p>
        </w:tc>
      </w:tr>
      <w:tr w:rsidR="004E63FC" w:rsidRPr="00727B13" w14:paraId="155A9C7F" w14:textId="77777777" w:rsidTr="004E63FC">
        <w:trPr>
          <w:trHeight w:val="290"/>
        </w:trPr>
        <w:tc>
          <w:tcPr>
            <w:tcW w:w="1869" w:type="pct"/>
            <w:noWrap/>
          </w:tcPr>
          <w:p w14:paraId="60BCB587" w14:textId="07E48990" w:rsidR="004E63FC" w:rsidRPr="00B62C17" w:rsidRDefault="004E63FC" w:rsidP="004E63FC">
            <w:pPr>
              <w:rPr>
                <w:rFonts w:ascii="Calibri" w:eastAsia="Times New Roman" w:hAnsi="Calibri" w:cs="Calibri"/>
                <w:color w:val="000000"/>
                <w:lang w:eastAsia="en-GB"/>
              </w:rPr>
            </w:pPr>
            <w:r w:rsidRPr="00B62C17">
              <w:rPr>
                <w:rFonts w:ascii="Calibri" w:eastAsia="Times New Roman" w:hAnsi="Calibri" w:cs="Calibri"/>
                <w:color w:val="000000"/>
                <w:lang w:eastAsia="en-GB"/>
              </w:rPr>
              <w:t>No response provided</w:t>
            </w:r>
          </w:p>
        </w:tc>
        <w:tc>
          <w:tcPr>
            <w:tcW w:w="521" w:type="pct"/>
            <w:noWrap/>
          </w:tcPr>
          <w:p w14:paraId="428CF0A2" w14:textId="77777777" w:rsidR="004E63FC" w:rsidRPr="00B62C17" w:rsidRDefault="004E63FC" w:rsidP="004E63FC">
            <w:pPr>
              <w:jc w:val="center"/>
              <w:rPr>
                <w:rFonts w:ascii="Calibri" w:eastAsia="Times New Roman" w:hAnsi="Calibri" w:cs="Calibri"/>
                <w:color w:val="000000"/>
                <w:lang w:eastAsia="en-GB"/>
              </w:rPr>
            </w:pPr>
          </w:p>
        </w:tc>
        <w:tc>
          <w:tcPr>
            <w:tcW w:w="522" w:type="pct"/>
            <w:noWrap/>
          </w:tcPr>
          <w:p w14:paraId="33F8429B" w14:textId="77777777" w:rsidR="004E63FC" w:rsidRPr="00B62C17" w:rsidRDefault="004E63FC" w:rsidP="004E63FC">
            <w:pPr>
              <w:jc w:val="center"/>
              <w:rPr>
                <w:rFonts w:ascii="Calibri" w:eastAsia="Times New Roman" w:hAnsi="Calibri" w:cs="Calibri"/>
                <w:color w:val="000000"/>
                <w:lang w:eastAsia="en-GB"/>
              </w:rPr>
            </w:pPr>
          </w:p>
        </w:tc>
        <w:tc>
          <w:tcPr>
            <w:tcW w:w="521" w:type="pct"/>
            <w:noWrap/>
          </w:tcPr>
          <w:p w14:paraId="56200049" w14:textId="77777777" w:rsidR="004E63FC" w:rsidRPr="00B62C17" w:rsidRDefault="004E63FC" w:rsidP="004E63FC">
            <w:pPr>
              <w:jc w:val="center"/>
              <w:rPr>
                <w:rFonts w:ascii="Calibri" w:eastAsia="Times New Roman" w:hAnsi="Calibri" w:cs="Calibri"/>
                <w:color w:val="000000"/>
                <w:lang w:eastAsia="en-GB"/>
              </w:rPr>
            </w:pPr>
          </w:p>
        </w:tc>
        <w:tc>
          <w:tcPr>
            <w:tcW w:w="522" w:type="pct"/>
            <w:noWrap/>
          </w:tcPr>
          <w:p w14:paraId="24B7D167" w14:textId="77777777" w:rsidR="004E63FC" w:rsidRPr="00B62C17" w:rsidRDefault="004E63FC" w:rsidP="004E63FC">
            <w:pPr>
              <w:jc w:val="center"/>
              <w:rPr>
                <w:rFonts w:ascii="Calibri" w:eastAsia="Times New Roman" w:hAnsi="Calibri" w:cs="Calibri"/>
                <w:color w:val="000000"/>
                <w:lang w:eastAsia="en-GB"/>
              </w:rPr>
            </w:pPr>
          </w:p>
        </w:tc>
        <w:tc>
          <w:tcPr>
            <w:tcW w:w="522" w:type="pct"/>
            <w:noWrap/>
          </w:tcPr>
          <w:p w14:paraId="3AE930F0" w14:textId="77777777" w:rsidR="004E63FC" w:rsidRPr="00B62C17" w:rsidRDefault="004E63FC" w:rsidP="004E63FC">
            <w:pPr>
              <w:jc w:val="center"/>
              <w:rPr>
                <w:rFonts w:ascii="Calibri" w:eastAsia="Times New Roman" w:hAnsi="Calibri" w:cs="Calibri"/>
                <w:color w:val="000000"/>
                <w:lang w:eastAsia="en-GB"/>
              </w:rPr>
            </w:pPr>
          </w:p>
        </w:tc>
        <w:tc>
          <w:tcPr>
            <w:tcW w:w="522" w:type="pct"/>
          </w:tcPr>
          <w:p w14:paraId="1F073CD5" w14:textId="6CF218B5" w:rsidR="004E63FC" w:rsidRPr="00B62C17" w:rsidRDefault="004E63FC" w:rsidP="004E63FC">
            <w:pPr>
              <w:jc w:val="center"/>
              <w:rPr>
                <w:rFonts w:ascii="Calibri" w:eastAsia="Times New Roman" w:hAnsi="Calibri" w:cs="Calibri"/>
                <w:color w:val="000000"/>
                <w:lang w:eastAsia="en-GB"/>
              </w:rPr>
            </w:pPr>
            <w:r w:rsidRPr="00B62C17">
              <w:rPr>
                <w:rFonts w:ascii="Calibri" w:eastAsia="Times New Roman" w:hAnsi="Calibri" w:cs="Calibri"/>
                <w:color w:val="000000"/>
                <w:lang w:eastAsia="en-GB"/>
              </w:rPr>
              <w:t>0.7%</w:t>
            </w:r>
          </w:p>
        </w:tc>
      </w:tr>
    </w:tbl>
    <w:p w14:paraId="19A7D22C" w14:textId="77777777" w:rsidR="004D4E6B" w:rsidRDefault="004D4E6B" w:rsidP="3905B53E">
      <w:pPr>
        <w:rPr>
          <w:rFonts w:ascii="Calibri" w:eastAsia="Calibri" w:hAnsi="Calibri" w:cs="Calibri"/>
        </w:rPr>
      </w:pPr>
    </w:p>
    <w:p w14:paraId="318FC727" w14:textId="296A42A6" w:rsidR="004D4E6B" w:rsidRDefault="004D4E6B" w:rsidP="004D4E6B">
      <w:pPr>
        <w:rPr>
          <w:rFonts w:ascii="Calibri" w:eastAsia="Times New Roman" w:hAnsi="Calibri" w:cs="Calibri"/>
          <w:color w:val="000000"/>
          <w:lang w:eastAsia="en-GB"/>
        </w:rPr>
      </w:pPr>
      <w:r w:rsidRPr="004D4E6B">
        <w:rPr>
          <w:rFonts w:ascii="Calibri" w:eastAsia="Times New Roman" w:hAnsi="Calibri" w:cs="Calibri"/>
          <w:color w:val="000000"/>
          <w:lang w:eastAsia="en-GB"/>
        </w:rPr>
        <w:t xml:space="preserve">Across academic colleagues, the proportion of minoritised ethnic colleagues was highest in R&amp;I (23.0%) roles, followed by T&amp;R (13.0%) and T&amp;S (12.6%). In terms of grades, among academics, the </w:t>
      </w:r>
      <w:r w:rsidRPr="004D4E6B">
        <w:rPr>
          <w:rFonts w:ascii="Calibri" w:eastAsia="Times New Roman" w:hAnsi="Calibri" w:cs="Calibri"/>
          <w:color w:val="000000"/>
          <w:lang w:eastAsia="en-GB"/>
        </w:rPr>
        <w:lastRenderedPageBreak/>
        <w:t>highest proportion</w:t>
      </w:r>
      <w:r>
        <w:rPr>
          <w:rFonts w:ascii="Calibri" w:eastAsia="Times New Roman" w:hAnsi="Calibri" w:cs="Calibri"/>
          <w:color w:val="000000"/>
          <w:lang w:eastAsia="en-GB"/>
        </w:rPr>
        <w:t xml:space="preserve"> </w:t>
      </w:r>
      <w:r w:rsidRPr="004D4E6B">
        <w:rPr>
          <w:rFonts w:ascii="Calibri" w:eastAsia="Times New Roman" w:hAnsi="Calibri" w:cs="Calibri"/>
          <w:color w:val="000000"/>
          <w:lang w:eastAsia="en-GB"/>
        </w:rPr>
        <w:t>of academic colleagues was in grade F (25.4%), with this figure declining across the subsequent grades, with the lowest representation found in grades IA (8.2%) and IB (8.3%).</w:t>
      </w:r>
    </w:p>
    <w:p w14:paraId="6C8B98B8" w14:textId="560E1DFE" w:rsidR="004D4E6B" w:rsidRDefault="004D4E6B" w:rsidP="004D4E6B">
      <w:pPr>
        <w:rPr>
          <w:rFonts w:ascii="Calibri" w:eastAsia="Times New Roman" w:hAnsi="Calibri" w:cs="Calibri"/>
          <w:color w:val="000000"/>
          <w:lang w:eastAsia="en-GB"/>
        </w:rPr>
      </w:pPr>
      <w:r w:rsidRPr="004D4E6B">
        <w:rPr>
          <w:rFonts w:ascii="Calibri" w:eastAsia="Times New Roman" w:hAnsi="Calibri" w:cs="Calibri"/>
          <w:color w:val="000000"/>
          <w:lang w:eastAsia="en-GB"/>
        </w:rPr>
        <w:t>Among PS colleagues, representation of colleagues from minoritised ethnic backgrounds was highest in grade E (6.9%), with slight declines across grade F and G (5.9% and 5.8% respectively). However, the lowest proportion of colleagues from minoritised ethnic backgrounds were in grades H and I (less than 5).</w:t>
      </w:r>
    </w:p>
    <w:p w14:paraId="34827BB3" w14:textId="341927D3" w:rsidR="003701BB" w:rsidRDefault="003701BB" w:rsidP="004D4E6B">
      <w:pPr>
        <w:rPr>
          <w:rFonts w:ascii="Calibri" w:eastAsia="Calibri" w:hAnsi="Calibri" w:cs="Calibri"/>
        </w:rPr>
      </w:pPr>
      <w:r>
        <w:rPr>
          <w:rFonts w:ascii="Calibri" w:eastAsia="Times New Roman" w:hAnsi="Calibri" w:cs="Calibri"/>
          <w:b/>
          <w:bCs/>
          <w:color w:val="000000"/>
          <w:lang w:eastAsia="en-GB"/>
        </w:rPr>
        <w:t xml:space="preserve">Table: </w:t>
      </w:r>
      <w:r w:rsidRPr="002F7E77">
        <w:rPr>
          <w:rFonts w:ascii="Calibri" w:eastAsia="Times New Roman" w:hAnsi="Calibri" w:cs="Calibri"/>
          <w:b/>
          <w:bCs/>
          <w:color w:val="000000"/>
          <w:lang w:eastAsia="en-GB"/>
        </w:rPr>
        <w:t xml:space="preserve">Academic colleagues by </w:t>
      </w:r>
      <w:r>
        <w:rPr>
          <w:rFonts w:ascii="Calibri" w:eastAsia="Times New Roman" w:hAnsi="Calibri" w:cs="Calibri"/>
          <w:b/>
          <w:bCs/>
          <w:color w:val="000000"/>
          <w:lang w:eastAsia="en-GB"/>
        </w:rPr>
        <w:t xml:space="preserve">minoritised and white ethnicity and </w:t>
      </w:r>
      <w:r w:rsidRPr="002F7E77">
        <w:rPr>
          <w:rFonts w:ascii="Calibri" w:eastAsia="Times New Roman" w:hAnsi="Calibri" w:cs="Calibri"/>
          <w:b/>
          <w:bCs/>
          <w:color w:val="000000"/>
          <w:lang w:eastAsia="en-GB"/>
        </w:rPr>
        <w:t>grade</w:t>
      </w:r>
      <w:r w:rsidR="004E63FC">
        <w:rPr>
          <w:rFonts w:ascii="Calibri" w:eastAsia="Times New Roman" w:hAnsi="Calibri" w:cs="Calibri"/>
          <w:b/>
          <w:bCs/>
          <w:color w:val="000000"/>
          <w:lang w:eastAsia="en-GB"/>
        </w:rPr>
        <w:t>,</w:t>
      </w:r>
      <w:r>
        <w:rPr>
          <w:rFonts w:ascii="Calibri" w:eastAsia="Times New Roman" w:hAnsi="Calibri" w:cs="Calibri"/>
          <w:b/>
          <w:bCs/>
          <w:color w:val="000000"/>
          <w:lang w:eastAsia="en-GB"/>
        </w:rPr>
        <w:t xml:space="preserve"> </w:t>
      </w:r>
      <w:r w:rsidRPr="002F7E77">
        <w:rPr>
          <w:rFonts w:ascii="Calibri" w:eastAsia="Times New Roman" w:hAnsi="Calibri" w:cs="Calibri"/>
          <w:b/>
          <w:bCs/>
          <w:color w:val="000000"/>
          <w:lang w:eastAsia="en-GB"/>
        </w:rPr>
        <w:t>202</w:t>
      </w:r>
      <w:r w:rsidR="004D4E6B">
        <w:rPr>
          <w:rFonts w:ascii="Calibri" w:eastAsia="Times New Roman" w:hAnsi="Calibri" w:cs="Calibri"/>
          <w:b/>
          <w:bCs/>
          <w:color w:val="000000"/>
          <w:lang w:eastAsia="en-GB"/>
        </w:rPr>
        <w:t>2</w:t>
      </w:r>
      <w:r w:rsidR="004E63FC">
        <w:rPr>
          <w:rFonts w:ascii="Calibri" w:eastAsia="Times New Roman" w:hAnsi="Calibri" w:cs="Calibri"/>
          <w:b/>
          <w:bCs/>
          <w:color w:val="000000"/>
          <w:lang w:eastAsia="en-GB"/>
        </w:rPr>
        <w:t>.</w:t>
      </w:r>
    </w:p>
    <w:tbl>
      <w:tblPr>
        <w:tblStyle w:val="TableGrid"/>
        <w:tblW w:w="4950" w:type="pct"/>
        <w:tblLook w:val="04A0" w:firstRow="1" w:lastRow="0" w:firstColumn="1" w:lastColumn="0" w:noHBand="0" w:noVBand="1"/>
      </w:tblPr>
      <w:tblGrid>
        <w:gridCol w:w="996"/>
        <w:gridCol w:w="1982"/>
        <w:gridCol w:w="1983"/>
        <w:gridCol w:w="1982"/>
        <w:gridCol w:w="1983"/>
      </w:tblGrid>
      <w:tr w:rsidR="003379C2" w:rsidRPr="004D4E6B" w14:paraId="37281419" w14:textId="3084CBAC" w:rsidTr="003379C2">
        <w:trPr>
          <w:trHeight w:val="580"/>
        </w:trPr>
        <w:tc>
          <w:tcPr>
            <w:tcW w:w="558" w:type="pct"/>
            <w:hideMark/>
          </w:tcPr>
          <w:p w14:paraId="398C3C62" w14:textId="77777777" w:rsidR="003379C2" w:rsidRPr="004E63FC" w:rsidRDefault="003379C2" w:rsidP="002F7E77">
            <w:pPr>
              <w:rPr>
                <w:rFonts w:ascii="Calibri" w:eastAsia="Times New Roman" w:hAnsi="Calibri" w:cs="Calibri"/>
                <w:b/>
                <w:bCs/>
                <w:color w:val="000000"/>
                <w:lang w:eastAsia="en-GB"/>
              </w:rPr>
            </w:pPr>
            <w:r w:rsidRPr="004E63FC">
              <w:rPr>
                <w:rFonts w:ascii="Calibri" w:eastAsia="Times New Roman" w:hAnsi="Calibri" w:cs="Calibri"/>
                <w:b/>
                <w:bCs/>
                <w:color w:val="000000"/>
                <w:lang w:eastAsia="en-GB"/>
              </w:rPr>
              <w:t>Grade</w:t>
            </w:r>
          </w:p>
        </w:tc>
        <w:tc>
          <w:tcPr>
            <w:tcW w:w="1110" w:type="pct"/>
          </w:tcPr>
          <w:p w14:paraId="5D8B20E2" w14:textId="035B9D97" w:rsidR="003379C2" w:rsidRPr="004E63FC" w:rsidRDefault="003379C2" w:rsidP="004E63FC">
            <w:pPr>
              <w:jc w:val="center"/>
              <w:rPr>
                <w:rFonts w:ascii="Calibri" w:eastAsia="Times New Roman" w:hAnsi="Calibri" w:cs="Calibri"/>
                <w:b/>
                <w:bCs/>
                <w:color w:val="000000"/>
                <w:lang w:eastAsia="en-GB"/>
              </w:rPr>
            </w:pPr>
            <w:r w:rsidRPr="004E63FC">
              <w:rPr>
                <w:rFonts w:ascii="Calibri" w:eastAsia="Times New Roman" w:hAnsi="Calibri" w:cs="Calibri"/>
                <w:b/>
                <w:bCs/>
                <w:color w:val="000000"/>
                <w:lang w:eastAsia="en-GB"/>
              </w:rPr>
              <w:t>White colleagues</w:t>
            </w:r>
          </w:p>
        </w:tc>
        <w:tc>
          <w:tcPr>
            <w:tcW w:w="1111" w:type="pct"/>
          </w:tcPr>
          <w:p w14:paraId="36D492E4" w14:textId="2FF0AEED" w:rsidR="003379C2" w:rsidRPr="004E63FC" w:rsidRDefault="003379C2" w:rsidP="004E63FC">
            <w:pPr>
              <w:jc w:val="center"/>
              <w:rPr>
                <w:rFonts w:ascii="Calibri" w:eastAsia="Times New Roman" w:hAnsi="Calibri" w:cs="Calibri"/>
                <w:b/>
                <w:bCs/>
                <w:color w:val="000000"/>
                <w:lang w:eastAsia="en-GB"/>
              </w:rPr>
            </w:pPr>
            <w:r w:rsidRPr="004E63FC">
              <w:rPr>
                <w:rFonts w:ascii="Calibri" w:eastAsia="Times New Roman" w:hAnsi="Calibri" w:cs="Calibri"/>
                <w:b/>
                <w:bCs/>
                <w:color w:val="000000"/>
                <w:lang w:eastAsia="en-GB"/>
              </w:rPr>
              <w:t>Colleagues from minoritised ethnic backgrounds</w:t>
            </w:r>
          </w:p>
        </w:tc>
        <w:tc>
          <w:tcPr>
            <w:tcW w:w="1110" w:type="pct"/>
          </w:tcPr>
          <w:p w14:paraId="1C853C54" w14:textId="5E91054B" w:rsidR="003379C2" w:rsidRPr="004E63FC" w:rsidRDefault="003379C2" w:rsidP="004E63FC">
            <w:pPr>
              <w:jc w:val="center"/>
              <w:rPr>
                <w:rFonts w:ascii="Calibri" w:eastAsia="Times New Roman" w:hAnsi="Calibri" w:cs="Calibri"/>
                <w:b/>
                <w:bCs/>
                <w:color w:val="000000"/>
                <w:lang w:eastAsia="en-GB"/>
              </w:rPr>
            </w:pPr>
            <w:r w:rsidRPr="004E63FC">
              <w:rPr>
                <w:rFonts w:ascii="Calibri" w:eastAsia="Times New Roman" w:hAnsi="Calibri" w:cs="Calibri"/>
                <w:b/>
                <w:bCs/>
                <w:color w:val="000000"/>
                <w:lang w:eastAsia="en-GB"/>
              </w:rPr>
              <w:t>Prefer not to say</w:t>
            </w:r>
          </w:p>
        </w:tc>
        <w:tc>
          <w:tcPr>
            <w:tcW w:w="1111" w:type="pct"/>
          </w:tcPr>
          <w:p w14:paraId="71864625" w14:textId="458F3016" w:rsidR="003379C2" w:rsidRPr="004E63FC" w:rsidRDefault="003379C2" w:rsidP="004E63FC">
            <w:pPr>
              <w:jc w:val="center"/>
              <w:rPr>
                <w:rFonts w:ascii="Calibri" w:eastAsia="Times New Roman" w:hAnsi="Calibri" w:cs="Calibri"/>
                <w:b/>
                <w:bCs/>
                <w:color w:val="000000"/>
                <w:lang w:eastAsia="en-GB"/>
              </w:rPr>
            </w:pPr>
            <w:r w:rsidRPr="004E63FC">
              <w:rPr>
                <w:rFonts w:ascii="Calibri" w:eastAsia="Times New Roman" w:hAnsi="Calibri" w:cs="Calibri"/>
                <w:b/>
                <w:bCs/>
                <w:color w:val="000000"/>
                <w:lang w:eastAsia="en-GB"/>
              </w:rPr>
              <w:t>No response provided</w:t>
            </w:r>
          </w:p>
        </w:tc>
      </w:tr>
      <w:tr w:rsidR="003379C2" w:rsidRPr="004D4E6B" w14:paraId="3537F155" w14:textId="473DF047" w:rsidTr="003379C2">
        <w:trPr>
          <w:trHeight w:val="243"/>
        </w:trPr>
        <w:tc>
          <w:tcPr>
            <w:tcW w:w="558" w:type="pct"/>
          </w:tcPr>
          <w:p w14:paraId="7174EBCE" w14:textId="77777777" w:rsidR="003379C2" w:rsidRPr="004E63FC" w:rsidRDefault="003379C2" w:rsidP="004E63FC">
            <w:pPr>
              <w:rPr>
                <w:rFonts w:ascii="Calibri" w:eastAsia="Times New Roman" w:hAnsi="Calibri" w:cs="Calibri"/>
                <w:b/>
                <w:bCs/>
                <w:color w:val="000000"/>
                <w:lang w:eastAsia="en-GB"/>
              </w:rPr>
            </w:pPr>
          </w:p>
        </w:tc>
        <w:tc>
          <w:tcPr>
            <w:tcW w:w="1110" w:type="pct"/>
          </w:tcPr>
          <w:p w14:paraId="76DE5FCD" w14:textId="0C6F475B" w:rsidR="003379C2" w:rsidRPr="004E63FC" w:rsidRDefault="003379C2" w:rsidP="004E63FC">
            <w:pPr>
              <w:jc w:val="center"/>
              <w:rPr>
                <w:rFonts w:ascii="Calibri" w:eastAsia="Times New Roman" w:hAnsi="Calibri" w:cs="Calibri"/>
                <w:b/>
                <w:bCs/>
                <w:color w:val="000000"/>
                <w:lang w:eastAsia="en-GB"/>
              </w:rPr>
            </w:pPr>
            <w:r w:rsidRPr="004E63FC">
              <w:rPr>
                <w:rFonts w:ascii="Calibri" w:eastAsia="Times New Roman" w:hAnsi="Calibri" w:cs="Calibri"/>
                <w:b/>
                <w:bCs/>
                <w:color w:val="000000"/>
                <w:lang w:eastAsia="en-GB"/>
              </w:rPr>
              <w:t>%</w:t>
            </w:r>
          </w:p>
        </w:tc>
        <w:tc>
          <w:tcPr>
            <w:tcW w:w="1111" w:type="pct"/>
          </w:tcPr>
          <w:p w14:paraId="5E4A6166" w14:textId="72F33083" w:rsidR="003379C2" w:rsidRPr="004E63FC" w:rsidRDefault="003379C2" w:rsidP="004E63FC">
            <w:pPr>
              <w:jc w:val="center"/>
              <w:rPr>
                <w:rFonts w:ascii="Calibri" w:eastAsia="Times New Roman" w:hAnsi="Calibri" w:cs="Calibri"/>
                <w:b/>
                <w:bCs/>
                <w:color w:val="000000"/>
                <w:lang w:eastAsia="en-GB"/>
              </w:rPr>
            </w:pPr>
            <w:r w:rsidRPr="004E63FC">
              <w:rPr>
                <w:rFonts w:ascii="Calibri" w:eastAsia="Times New Roman" w:hAnsi="Calibri" w:cs="Calibri"/>
                <w:b/>
                <w:bCs/>
                <w:color w:val="000000"/>
                <w:lang w:eastAsia="en-GB"/>
              </w:rPr>
              <w:t>%</w:t>
            </w:r>
          </w:p>
        </w:tc>
        <w:tc>
          <w:tcPr>
            <w:tcW w:w="1110" w:type="pct"/>
          </w:tcPr>
          <w:p w14:paraId="3DF4B6D8" w14:textId="3738CF4B" w:rsidR="003379C2" w:rsidRPr="004E63FC" w:rsidRDefault="003379C2" w:rsidP="004E63FC">
            <w:pPr>
              <w:jc w:val="center"/>
              <w:rPr>
                <w:rFonts w:ascii="Calibri" w:eastAsia="Times New Roman" w:hAnsi="Calibri" w:cs="Calibri"/>
                <w:b/>
                <w:bCs/>
                <w:color w:val="000000"/>
                <w:lang w:eastAsia="en-GB"/>
              </w:rPr>
            </w:pPr>
            <w:r w:rsidRPr="004E63FC">
              <w:rPr>
                <w:rFonts w:ascii="Calibri" w:eastAsia="Times New Roman" w:hAnsi="Calibri" w:cs="Calibri"/>
                <w:b/>
                <w:bCs/>
                <w:color w:val="000000"/>
                <w:lang w:eastAsia="en-GB"/>
              </w:rPr>
              <w:t>%</w:t>
            </w:r>
          </w:p>
        </w:tc>
        <w:tc>
          <w:tcPr>
            <w:tcW w:w="1111" w:type="pct"/>
          </w:tcPr>
          <w:p w14:paraId="2E37B0EE" w14:textId="7BE984DE" w:rsidR="003379C2" w:rsidRPr="004E63FC" w:rsidRDefault="003379C2" w:rsidP="004E63FC">
            <w:pPr>
              <w:jc w:val="center"/>
              <w:rPr>
                <w:rFonts w:ascii="Calibri" w:eastAsia="Times New Roman" w:hAnsi="Calibri" w:cs="Calibri"/>
                <w:b/>
                <w:bCs/>
                <w:color w:val="000000"/>
                <w:lang w:eastAsia="en-GB"/>
              </w:rPr>
            </w:pPr>
            <w:r w:rsidRPr="004E63FC">
              <w:rPr>
                <w:rFonts w:ascii="Calibri" w:eastAsia="Times New Roman" w:hAnsi="Calibri" w:cs="Calibri"/>
                <w:b/>
                <w:bCs/>
                <w:color w:val="000000"/>
                <w:lang w:eastAsia="en-GB"/>
              </w:rPr>
              <w:t>%</w:t>
            </w:r>
          </w:p>
        </w:tc>
      </w:tr>
      <w:tr w:rsidR="003379C2" w:rsidRPr="004D4E6B" w14:paraId="289CC129" w14:textId="298B6BD6" w:rsidTr="003379C2">
        <w:trPr>
          <w:trHeight w:val="290"/>
        </w:trPr>
        <w:tc>
          <w:tcPr>
            <w:tcW w:w="558" w:type="pct"/>
            <w:noWrap/>
          </w:tcPr>
          <w:p w14:paraId="0798400E" w14:textId="0B1A863E" w:rsidR="003379C2" w:rsidRPr="004E63FC" w:rsidRDefault="003379C2" w:rsidP="004E63FC">
            <w:pPr>
              <w:rPr>
                <w:rFonts w:ascii="Calibri" w:eastAsia="Times New Roman" w:hAnsi="Calibri" w:cs="Calibri"/>
                <w:color w:val="000000"/>
                <w:lang w:eastAsia="en-GB"/>
              </w:rPr>
            </w:pPr>
            <w:r w:rsidRPr="004E63FC">
              <w:rPr>
                <w:rFonts w:ascii="Calibri" w:eastAsia="Times New Roman" w:hAnsi="Calibri" w:cs="Calibri"/>
                <w:color w:val="000000"/>
                <w:lang w:eastAsia="en-GB"/>
              </w:rPr>
              <w:t>Grade E</w:t>
            </w:r>
          </w:p>
        </w:tc>
        <w:tc>
          <w:tcPr>
            <w:tcW w:w="1110" w:type="pct"/>
          </w:tcPr>
          <w:p w14:paraId="57A9FDE3" w14:textId="7AC310D8" w:rsidR="003379C2" w:rsidRPr="004E63FC" w:rsidRDefault="003379C2" w:rsidP="004E63FC">
            <w:pPr>
              <w:jc w:val="center"/>
              <w:rPr>
                <w:rFonts w:ascii="Calibri" w:eastAsia="Times New Roman" w:hAnsi="Calibri" w:cs="Calibri"/>
                <w:color w:val="000000"/>
                <w:lang w:eastAsia="en-GB"/>
              </w:rPr>
            </w:pPr>
            <w:r w:rsidRPr="002D5CF8">
              <w:t>100.0%</w:t>
            </w:r>
          </w:p>
        </w:tc>
        <w:tc>
          <w:tcPr>
            <w:tcW w:w="1111" w:type="pct"/>
          </w:tcPr>
          <w:p w14:paraId="73F214CA" w14:textId="0B231E88" w:rsidR="003379C2" w:rsidRPr="004E63FC" w:rsidRDefault="003379C2" w:rsidP="004E63FC">
            <w:pPr>
              <w:jc w:val="center"/>
              <w:rPr>
                <w:rFonts w:ascii="Calibri" w:eastAsia="Times New Roman" w:hAnsi="Calibri" w:cs="Calibri"/>
                <w:color w:val="000000"/>
                <w:lang w:eastAsia="en-GB"/>
              </w:rPr>
            </w:pPr>
            <w:r w:rsidRPr="002D5CF8">
              <w:t>…</w:t>
            </w:r>
          </w:p>
        </w:tc>
        <w:tc>
          <w:tcPr>
            <w:tcW w:w="1110" w:type="pct"/>
          </w:tcPr>
          <w:p w14:paraId="4C64EEB4" w14:textId="6B31754D" w:rsidR="003379C2" w:rsidRPr="004E63FC" w:rsidRDefault="003379C2" w:rsidP="004E63FC">
            <w:pPr>
              <w:jc w:val="center"/>
              <w:rPr>
                <w:rFonts w:ascii="Calibri" w:eastAsia="Times New Roman" w:hAnsi="Calibri" w:cs="Calibri"/>
                <w:color w:val="000000"/>
                <w:lang w:eastAsia="en-GB"/>
              </w:rPr>
            </w:pPr>
            <w:r w:rsidRPr="002D5CF8">
              <w:t>…</w:t>
            </w:r>
          </w:p>
        </w:tc>
        <w:tc>
          <w:tcPr>
            <w:tcW w:w="1111" w:type="pct"/>
          </w:tcPr>
          <w:p w14:paraId="64B4AE42" w14:textId="5E0C5239" w:rsidR="003379C2" w:rsidRPr="004E63FC" w:rsidRDefault="003379C2" w:rsidP="004E63FC">
            <w:pPr>
              <w:jc w:val="center"/>
              <w:rPr>
                <w:rFonts w:ascii="Calibri" w:eastAsia="Times New Roman" w:hAnsi="Calibri" w:cs="Calibri"/>
                <w:color w:val="000000"/>
                <w:lang w:eastAsia="en-GB"/>
              </w:rPr>
            </w:pPr>
            <w:r w:rsidRPr="005B728F">
              <w:t>…</w:t>
            </w:r>
          </w:p>
        </w:tc>
      </w:tr>
      <w:tr w:rsidR="003379C2" w:rsidRPr="004D4E6B" w14:paraId="1CD01944" w14:textId="028DF8B1" w:rsidTr="003379C2">
        <w:trPr>
          <w:trHeight w:val="290"/>
        </w:trPr>
        <w:tc>
          <w:tcPr>
            <w:tcW w:w="558" w:type="pct"/>
            <w:noWrap/>
            <w:hideMark/>
          </w:tcPr>
          <w:p w14:paraId="1797DCB3" w14:textId="77777777" w:rsidR="003379C2" w:rsidRPr="004E63FC" w:rsidRDefault="003379C2" w:rsidP="004E63FC">
            <w:pPr>
              <w:rPr>
                <w:rFonts w:ascii="Calibri" w:eastAsia="Times New Roman" w:hAnsi="Calibri" w:cs="Calibri"/>
                <w:color w:val="000000"/>
                <w:lang w:eastAsia="en-GB"/>
              </w:rPr>
            </w:pPr>
            <w:r w:rsidRPr="004E63FC">
              <w:rPr>
                <w:rFonts w:ascii="Calibri" w:eastAsia="Times New Roman" w:hAnsi="Calibri" w:cs="Calibri"/>
                <w:color w:val="000000"/>
                <w:lang w:eastAsia="en-GB"/>
              </w:rPr>
              <w:t>Grade F</w:t>
            </w:r>
          </w:p>
        </w:tc>
        <w:tc>
          <w:tcPr>
            <w:tcW w:w="1110" w:type="pct"/>
          </w:tcPr>
          <w:p w14:paraId="0B617E53" w14:textId="0B23638D" w:rsidR="003379C2" w:rsidRPr="004E63FC" w:rsidRDefault="003379C2" w:rsidP="004E63FC">
            <w:pPr>
              <w:jc w:val="center"/>
              <w:rPr>
                <w:rFonts w:ascii="Calibri" w:eastAsia="Times New Roman" w:hAnsi="Calibri" w:cs="Calibri"/>
                <w:color w:val="000000"/>
                <w:lang w:eastAsia="en-GB"/>
              </w:rPr>
            </w:pPr>
            <w:r w:rsidRPr="002D5CF8">
              <w:t>67.7%</w:t>
            </w:r>
          </w:p>
        </w:tc>
        <w:tc>
          <w:tcPr>
            <w:tcW w:w="1111" w:type="pct"/>
          </w:tcPr>
          <w:p w14:paraId="12D55DEA" w14:textId="51EE7166" w:rsidR="003379C2" w:rsidRPr="004E63FC" w:rsidRDefault="003379C2" w:rsidP="004E63FC">
            <w:pPr>
              <w:jc w:val="center"/>
              <w:rPr>
                <w:rFonts w:ascii="Calibri" w:eastAsia="Times New Roman" w:hAnsi="Calibri" w:cs="Calibri"/>
                <w:color w:val="000000"/>
                <w:lang w:eastAsia="en-GB"/>
              </w:rPr>
            </w:pPr>
            <w:r w:rsidRPr="002D5CF8">
              <w:t>25.4%</w:t>
            </w:r>
          </w:p>
        </w:tc>
        <w:tc>
          <w:tcPr>
            <w:tcW w:w="1110" w:type="pct"/>
          </w:tcPr>
          <w:p w14:paraId="74BCD81E" w14:textId="7946E98C" w:rsidR="003379C2" w:rsidRPr="004E63FC" w:rsidRDefault="003379C2" w:rsidP="004E63FC">
            <w:pPr>
              <w:jc w:val="center"/>
              <w:rPr>
                <w:rFonts w:ascii="Calibri" w:eastAsia="Times New Roman" w:hAnsi="Calibri" w:cs="Calibri"/>
                <w:color w:val="000000"/>
                <w:lang w:eastAsia="en-GB"/>
              </w:rPr>
            </w:pPr>
            <w:r w:rsidRPr="002D5CF8">
              <w:t>5.3%</w:t>
            </w:r>
          </w:p>
        </w:tc>
        <w:tc>
          <w:tcPr>
            <w:tcW w:w="1111" w:type="pct"/>
          </w:tcPr>
          <w:p w14:paraId="1B8A4232" w14:textId="3D20A098" w:rsidR="003379C2" w:rsidRPr="004E63FC" w:rsidRDefault="003379C2" w:rsidP="004E63FC">
            <w:pPr>
              <w:jc w:val="center"/>
              <w:rPr>
                <w:rFonts w:ascii="Calibri" w:eastAsia="Times New Roman" w:hAnsi="Calibri" w:cs="Calibri"/>
                <w:color w:val="000000"/>
                <w:lang w:eastAsia="en-GB"/>
              </w:rPr>
            </w:pPr>
            <w:r w:rsidRPr="005B728F">
              <w:t>1.5%</w:t>
            </w:r>
          </w:p>
        </w:tc>
      </w:tr>
      <w:tr w:rsidR="003379C2" w:rsidRPr="004D4E6B" w14:paraId="0A8EC245" w14:textId="221A2BDE" w:rsidTr="003379C2">
        <w:trPr>
          <w:trHeight w:val="290"/>
        </w:trPr>
        <w:tc>
          <w:tcPr>
            <w:tcW w:w="558" w:type="pct"/>
            <w:noWrap/>
            <w:hideMark/>
          </w:tcPr>
          <w:p w14:paraId="766602C4" w14:textId="77777777" w:rsidR="003379C2" w:rsidRPr="004E63FC" w:rsidRDefault="003379C2" w:rsidP="004E63FC">
            <w:pPr>
              <w:rPr>
                <w:rFonts w:ascii="Calibri" w:eastAsia="Times New Roman" w:hAnsi="Calibri" w:cs="Calibri"/>
                <w:color w:val="000000"/>
                <w:lang w:eastAsia="en-GB"/>
              </w:rPr>
            </w:pPr>
            <w:r w:rsidRPr="004E63FC">
              <w:rPr>
                <w:rFonts w:ascii="Calibri" w:eastAsia="Times New Roman" w:hAnsi="Calibri" w:cs="Calibri"/>
                <w:color w:val="000000"/>
                <w:lang w:eastAsia="en-GB"/>
              </w:rPr>
              <w:t>Grade G</w:t>
            </w:r>
          </w:p>
        </w:tc>
        <w:tc>
          <w:tcPr>
            <w:tcW w:w="1110" w:type="pct"/>
          </w:tcPr>
          <w:p w14:paraId="1B3E2953" w14:textId="692AD0B3" w:rsidR="003379C2" w:rsidRPr="004E63FC" w:rsidRDefault="003379C2" w:rsidP="004E63FC">
            <w:pPr>
              <w:jc w:val="center"/>
              <w:rPr>
                <w:rFonts w:ascii="Calibri" w:eastAsia="Times New Roman" w:hAnsi="Calibri" w:cs="Calibri"/>
                <w:color w:val="000000"/>
                <w:lang w:eastAsia="en-GB"/>
              </w:rPr>
            </w:pPr>
            <w:r w:rsidRPr="002D5CF8">
              <w:t>78.9%</w:t>
            </w:r>
          </w:p>
        </w:tc>
        <w:tc>
          <w:tcPr>
            <w:tcW w:w="1111" w:type="pct"/>
          </w:tcPr>
          <w:p w14:paraId="48C2D18D" w14:textId="08535ECF" w:rsidR="003379C2" w:rsidRPr="004E63FC" w:rsidRDefault="003379C2" w:rsidP="004E63FC">
            <w:pPr>
              <w:jc w:val="center"/>
              <w:rPr>
                <w:rFonts w:ascii="Calibri" w:eastAsia="Times New Roman" w:hAnsi="Calibri" w:cs="Calibri"/>
                <w:color w:val="000000"/>
                <w:lang w:eastAsia="en-GB"/>
              </w:rPr>
            </w:pPr>
            <w:r w:rsidRPr="002D5CF8">
              <w:t>14.6%</w:t>
            </w:r>
          </w:p>
        </w:tc>
        <w:tc>
          <w:tcPr>
            <w:tcW w:w="1110" w:type="pct"/>
          </w:tcPr>
          <w:p w14:paraId="4371044C" w14:textId="167386B8" w:rsidR="003379C2" w:rsidRPr="004E63FC" w:rsidRDefault="003379C2" w:rsidP="004E63FC">
            <w:pPr>
              <w:jc w:val="center"/>
              <w:rPr>
                <w:rFonts w:ascii="Calibri" w:eastAsia="Times New Roman" w:hAnsi="Calibri" w:cs="Calibri"/>
                <w:color w:val="000000"/>
                <w:lang w:eastAsia="en-GB"/>
              </w:rPr>
            </w:pPr>
            <w:r w:rsidRPr="002D5CF8">
              <w:t>5.1%</w:t>
            </w:r>
          </w:p>
        </w:tc>
        <w:tc>
          <w:tcPr>
            <w:tcW w:w="1111" w:type="pct"/>
          </w:tcPr>
          <w:p w14:paraId="6111BADD" w14:textId="320F3761" w:rsidR="003379C2" w:rsidRPr="004E63FC" w:rsidRDefault="003379C2" w:rsidP="004E63FC">
            <w:pPr>
              <w:jc w:val="center"/>
              <w:rPr>
                <w:rFonts w:ascii="Calibri" w:eastAsia="Times New Roman" w:hAnsi="Calibri" w:cs="Calibri"/>
                <w:color w:val="000000"/>
                <w:lang w:eastAsia="en-GB"/>
              </w:rPr>
            </w:pPr>
            <w:r w:rsidRPr="005B728F">
              <w:t>1.4%</w:t>
            </w:r>
          </w:p>
        </w:tc>
      </w:tr>
      <w:tr w:rsidR="003379C2" w:rsidRPr="004D4E6B" w14:paraId="69FCBE34" w14:textId="003A9A9D" w:rsidTr="003379C2">
        <w:trPr>
          <w:trHeight w:val="290"/>
        </w:trPr>
        <w:tc>
          <w:tcPr>
            <w:tcW w:w="558" w:type="pct"/>
            <w:noWrap/>
            <w:hideMark/>
          </w:tcPr>
          <w:p w14:paraId="21BF8119" w14:textId="77777777" w:rsidR="003379C2" w:rsidRPr="004E63FC" w:rsidRDefault="003379C2" w:rsidP="004E63FC">
            <w:pPr>
              <w:rPr>
                <w:rFonts w:ascii="Calibri" w:eastAsia="Times New Roman" w:hAnsi="Calibri" w:cs="Calibri"/>
                <w:color w:val="000000"/>
                <w:lang w:eastAsia="en-GB"/>
              </w:rPr>
            </w:pPr>
            <w:r w:rsidRPr="004E63FC">
              <w:rPr>
                <w:rFonts w:ascii="Calibri" w:eastAsia="Times New Roman" w:hAnsi="Calibri" w:cs="Calibri"/>
                <w:color w:val="000000"/>
                <w:lang w:eastAsia="en-GB"/>
              </w:rPr>
              <w:t>Grade H</w:t>
            </w:r>
          </w:p>
        </w:tc>
        <w:tc>
          <w:tcPr>
            <w:tcW w:w="1110" w:type="pct"/>
          </w:tcPr>
          <w:p w14:paraId="10631972" w14:textId="570477EE" w:rsidR="003379C2" w:rsidRPr="004E63FC" w:rsidRDefault="003379C2" w:rsidP="004E63FC">
            <w:pPr>
              <w:jc w:val="center"/>
              <w:rPr>
                <w:rFonts w:ascii="Calibri" w:eastAsia="Times New Roman" w:hAnsi="Calibri" w:cs="Calibri"/>
                <w:color w:val="000000"/>
                <w:lang w:eastAsia="en-GB"/>
              </w:rPr>
            </w:pPr>
            <w:r w:rsidRPr="002D5CF8">
              <w:t>81.9%</w:t>
            </w:r>
          </w:p>
        </w:tc>
        <w:tc>
          <w:tcPr>
            <w:tcW w:w="1111" w:type="pct"/>
          </w:tcPr>
          <w:p w14:paraId="63D8B768" w14:textId="5C17DDEB" w:rsidR="003379C2" w:rsidRPr="004E63FC" w:rsidRDefault="003379C2" w:rsidP="004E63FC">
            <w:pPr>
              <w:jc w:val="center"/>
              <w:rPr>
                <w:rFonts w:ascii="Calibri" w:eastAsia="Times New Roman" w:hAnsi="Calibri" w:cs="Calibri"/>
                <w:color w:val="000000"/>
                <w:lang w:eastAsia="en-GB"/>
              </w:rPr>
            </w:pPr>
            <w:r w:rsidRPr="002D5CF8">
              <w:t>12.5%</w:t>
            </w:r>
          </w:p>
        </w:tc>
        <w:tc>
          <w:tcPr>
            <w:tcW w:w="1110" w:type="pct"/>
          </w:tcPr>
          <w:p w14:paraId="6CDDEC9C" w14:textId="2A58E920" w:rsidR="003379C2" w:rsidRPr="004E63FC" w:rsidRDefault="003379C2" w:rsidP="004E63FC">
            <w:pPr>
              <w:jc w:val="center"/>
              <w:rPr>
                <w:rFonts w:ascii="Calibri" w:eastAsia="Times New Roman" w:hAnsi="Calibri" w:cs="Calibri"/>
                <w:color w:val="000000"/>
                <w:lang w:eastAsia="en-GB"/>
              </w:rPr>
            </w:pPr>
            <w:r w:rsidRPr="002D5CF8">
              <w:t>5.4%</w:t>
            </w:r>
          </w:p>
        </w:tc>
        <w:tc>
          <w:tcPr>
            <w:tcW w:w="1111" w:type="pct"/>
          </w:tcPr>
          <w:p w14:paraId="634A22D8" w14:textId="12FAC837" w:rsidR="003379C2" w:rsidRPr="004E63FC" w:rsidRDefault="003379C2" w:rsidP="004E63FC">
            <w:pPr>
              <w:jc w:val="center"/>
              <w:rPr>
                <w:rFonts w:ascii="Calibri" w:eastAsia="Times New Roman" w:hAnsi="Calibri" w:cs="Calibri"/>
                <w:color w:val="000000"/>
                <w:lang w:eastAsia="en-GB"/>
              </w:rPr>
            </w:pPr>
            <w:r w:rsidRPr="005B728F">
              <w:t>…</w:t>
            </w:r>
          </w:p>
        </w:tc>
      </w:tr>
      <w:tr w:rsidR="003379C2" w:rsidRPr="004D4E6B" w14:paraId="7B0ED6AD" w14:textId="2E279FF3" w:rsidTr="003379C2">
        <w:trPr>
          <w:trHeight w:val="290"/>
        </w:trPr>
        <w:tc>
          <w:tcPr>
            <w:tcW w:w="558" w:type="pct"/>
            <w:noWrap/>
            <w:hideMark/>
          </w:tcPr>
          <w:p w14:paraId="2019B7FF" w14:textId="77777777" w:rsidR="003379C2" w:rsidRPr="004E63FC" w:rsidRDefault="003379C2" w:rsidP="004E63FC">
            <w:pPr>
              <w:rPr>
                <w:rFonts w:ascii="Calibri" w:eastAsia="Times New Roman" w:hAnsi="Calibri" w:cs="Calibri"/>
                <w:color w:val="000000"/>
                <w:lang w:eastAsia="en-GB"/>
              </w:rPr>
            </w:pPr>
            <w:r w:rsidRPr="004E63FC">
              <w:rPr>
                <w:rFonts w:ascii="Calibri" w:eastAsia="Times New Roman" w:hAnsi="Calibri" w:cs="Calibri"/>
                <w:color w:val="000000"/>
                <w:lang w:eastAsia="en-GB"/>
              </w:rPr>
              <w:t>Grade IA</w:t>
            </w:r>
          </w:p>
        </w:tc>
        <w:tc>
          <w:tcPr>
            <w:tcW w:w="1110" w:type="pct"/>
          </w:tcPr>
          <w:p w14:paraId="0DDD720C" w14:textId="45F135E8" w:rsidR="003379C2" w:rsidRPr="004E63FC" w:rsidRDefault="003379C2" w:rsidP="004E63FC">
            <w:pPr>
              <w:jc w:val="center"/>
              <w:rPr>
                <w:rFonts w:ascii="Calibri" w:eastAsia="Times New Roman" w:hAnsi="Calibri" w:cs="Calibri"/>
                <w:color w:val="000000"/>
                <w:lang w:eastAsia="en-GB"/>
              </w:rPr>
            </w:pPr>
            <w:r w:rsidRPr="002D5CF8">
              <w:t>88.2%</w:t>
            </w:r>
          </w:p>
        </w:tc>
        <w:tc>
          <w:tcPr>
            <w:tcW w:w="1111" w:type="pct"/>
          </w:tcPr>
          <w:p w14:paraId="1F2C2E46" w14:textId="40763671" w:rsidR="003379C2" w:rsidRPr="004E63FC" w:rsidRDefault="003379C2" w:rsidP="004E63FC">
            <w:pPr>
              <w:jc w:val="center"/>
              <w:rPr>
                <w:rFonts w:ascii="Calibri" w:eastAsia="Times New Roman" w:hAnsi="Calibri" w:cs="Calibri"/>
                <w:color w:val="000000"/>
                <w:lang w:eastAsia="en-GB"/>
              </w:rPr>
            </w:pPr>
            <w:r w:rsidRPr="002D5CF8">
              <w:t>8.2%</w:t>
            </w:r>
          </w:p>
        </w:tc>
        <w:tc>
          <w:tcPr>
            <w:tcW w:w="1110" w:type="pct"/>
          </w:tcPr>
          <w:p w14:paraId="4037108B" w14:textId="6D25F0ED" w:rsidR="003379C2" w:rsidRPr="004E63FC" w:rsidRDefault="003379C2" w:rsidP="004E63FC">
            <w:pPr>
              <w:jc w:val="center"/>
              <w:rPr>
                <w:rFonts w:ascii="Calibri" w:eastAsia="Times New Roman" w:hAnsi="Calibri" w:cs="Calibri"/>
                <w:color w:val="000000"/>
                <w:lang w:eastAsia="en-GB"/>
              </w:rPr>
            </w:pPr>
            <w:r w:rsidRPr="002D5CF8">
              <w:t>…</w:t>
            </w:r>
          </w:p>
        </w:tc>
        <w:tc>
          <w:tcPr>
            <w:tcW w:w="1111" w:type="pct"/>
          </w:tcPr>
          <w:p w14:paraId="412FE938" w14:textId="519354BC" w:rsidR="003379C2" w:rsidRPr="004E63FC" w:rsidRDefault="003379C2" w:rsidP="004E63FC">
            <w:pPr>
              <w:jc w:val="center"/>
              <w:rPr>
                <w:rFonts w:ascii="Calibri" w:eastAsia="Times New Roman" w:hAnsi="Calibri" w:cs="Calibri"/>
                <w:color w:val="000000"/>
                <w:lang w:eastAsia="en-GB"/>
              </w:rPr>
            </w:pPr>
            <w:r w:rsidRPr="005B728F">
              <w:t>…</w:t>
            </w:r>
          </w:p>
        </w:tc>
      </w:tr>
      <w:tr w:rsidR="003379C2" w:rsidRPr="002F7E77" w14:paraId="6F08C280" w14:textId="6612EF2B" w:rsidTr="003379C2">
        <w:trPr>
          <w:trHeight w:val="300"/>
        </w:trPr>
        <w:tc>
          <w:tcPr>
            <w:tcW w:w="558" w:type="pct"/>
            <w:noWrap/>
            <w:hideMark/>
          </w:tcPr>
          <w:p w14:paraId="034E9A92" w14:textId="77777777" w:rsidR="003379C2" w:rsidRPr="004E63FC" w:rsidRDefault="003379C2" w:rsidP="004E63FC">
            <w:pPr>
              <w:rPr>
                <w:rFonts w:ascii="Calibri" w:eastAsia="Times New Roman" w:hAnsi="Calibri" w:cs="Calibri"/>
                <w:color w:val="000000"/>
                <w:lang w:eastAsia="en-GB"/>
              </w:rPr>
            </w:pPr>
            <w:r w:rsidRPr="004E63FC">
              <w:rPr>
                <w:rFonts w:ascii="Calibri" w:eastAsia="Times New Roman" w:hAnsi="Calibri" w:cs="Calibri"/>
                <w:color w:val="000000"/>
                <w:lang w:eastAsia="en-GB"/>
              </w:rPr>
              <w:t>Grade IB</w:t>
            </w:r>
          </w:p>
        </w:tc>
        <w:tc>
          <w:tcPr>
            <w:tcW w:w="1110" w:type="pct"/>
          </w:tcPr>
          <w:p w14:paraId="06AC4D64" w14:textId="71306369" w:rsidR="003379C2" w:rsidRPr="004E63FC" w:rsidRDefault="003379C2" w:rsidP="004E63FC">
            <w:pPr>
              <w:jc w:val="center"/>
              <w:rPr>
                <w:rFonts w:ascii="Calibri" w:eastAsia="Times New Roman" w:hAnsi="Calibri" w:cs="Calibri"/>
                <w:color w:val="000000"/>
                <w:lang w:eastAsia="en-GB"/>
              </w:rPr>
            </w:pPr>
            <w:r w:rsidRPr="002D5CF8">
              <w:t>86.3%</w:t>
            </w:r>
          </w:p>
        </w:tc>
        <w:tc>
          <w:tcPr>
            <w:tcW w:w="1111" w:type="pct"/>
          </w:tcPr>
          <w:p w14:paraId="504D8254" w14:textId="26945AAA" w:rsidR="003379C2" w:rsidRPr="004E63FC" w:rsidRDefault="003379C2" w:rsidP="004E63FC">
            <w:pPr>
              <w:jc w:val="center"/>
              <w:rPr>
                <w:rFonts w:ascii="Calibri" w:eastAsia="Times New Roman" w:hAnsi="Calibri" w:cs="Calibri"/>
                <w:color w:val="000000"/>
                <w:lang w:eastAsia="en-GB"/>
              </w:rPr>
            </w:pPr>
            <w:r w:rsidRPr="002D5CF8">
              <w:t>8.2%</w:t>
            </w:r>
          </w:p>
        </w:tc>
        <w:tc>
          <w:tcPr>
            <w:tcW w:w="1110" w:type="pct"/>
          </w:tcPr>
          <w:p w14:paraId="771EA775" w14:textId="3C0ABAD7" w:rsidR="003379C2" w:rsidRPr="004E63FC" w:rsidRDefault="003379C2" w:rsidP="004E63FC">
            <w:pPr>
              <w:jc w:val="center"/>
              <w:rPr>
                <w:rFonts w:ascii="Calibri" w:eastAsia="Times New Roman" w:hAnsi="Calibri" w:cs="Calibri"/>
                <w:color w:val="000000"/>
                <w:lang w:eastAsia="en-GB"/>
              </w:rPr>
            </w:pPr>
            <w:r w:rsidRPr="002D5CF8">
              <w:t>5.1%</w:t>
            </w:r>
          </w:p>
        </w:tc>
        <w:tc>
          <w:tcPr>
            <w:tcW w:w="1111" w:type="pct"/>
          </w:tcPr>
          <w:p w14:paraId="7F6E3F0D" w14:textId="110C2A2B" w:rsidR="003379C2" w:rsidRPr="004E63FC" w:rsidRDefault="003379C2" w:rsidP="004E63FC">
            <w:pPr>
              <w:jc w:val="center"/>
              <w:rPr>
                <w:rFonts w:ascii="Calibri" w:eastAsia="Times New Roman" w:hAnsi="Calibri" w:cs="Calibri"/>
                <w:color w:val="000000"/>
                <w:lang w:eastAsia="en-GB"/>
              </w:rPr>
            </w:pPr>
            <w:r w:rsidRPr="005B728F">
              <w:t>…</w:t>
            </w:r>
          </w:p>
        </w:tc>
      </w:tr>
    </w:tbl>
    <w:p w14:paraId="5750D284" w14:textId="18F15C47" w:rsidR="00927026" w:rsidRDefault="00927026" w:rsidP="2ABCE12C">
      <w:pPr>
        <w:rPr>
          <w:rFonts w:ascii="Calibri" w:eastAsia="Calibri" w:hAnsi="Calibri" w:cs="Calibri"/>
        </w:rPr>
      </w:pPr>
    </w:p>
    <w:p w14:paraId="7E6DD745" w14:textId="2095031D" w:rsidR="000C2A4C" w:rsidRDefault="000C2A4C" w:rsidP="2ABCE12C">
      <w:pPr>
        <w:rPr>
          <w:rFonts w:ascii="Calibri" w:eastAsia="Calibri" w:hAnsi="Calibri" w:cs="Calibri"/>
        </w:rPr>
      </w:pPr>
      <w:r>
        <w:rPr>
          <w:rFonts w:ascii="Calibri" w:eastAsia="Times New Roman" w:hAnsi="Calibri" w:cs="Calibri"/>
          <w:b/>
          <w:bCs/>
          <w:color w:val="000000"/>
          <w:lang w:eastAsia="en-GB"/>
        </w:rPr>
        <w:t xml:space="preserve">Table: </w:t>
      </w:r>
      <w:r w:rsidRPr="002F7E77">
        <w:rPr>
          <w:rFonts w:ascii="Calibri" w:eastAsia="Times New Roman" w:hAnsi="Calibri" w:cs="Calibri"/>
          <w:b/>
          <w:bCs/>
          <w:color w:val="000000"/>
          <w:lang w:eastAsia="en-GB"/>
        </w:rPr>
        <w:t xml:space="preserve">PS colleagues by </w:t>
      </w:r>
      <w:r>
        <w:rPr>
          <w:rFonts w:ascii="Calibri" w:eastAsia="Times New Roman" w:hAnsi="Calibri" w:cs="Calibri"/>
          <w:b/>
          <w:bCs/>
          <w:color w:val="000000"/>
          <w:lang w:eastAsia="en-GB"/>
        </w:rPr>
        <w:t xml:space="preserve">minoritised and white ethnicity and </w:t>
      </w:r>
      <w:r w:rsidRPr="002F7E77">
        <w:rPr>
          <w:rFonts w:ascii="Calibri" w:eastAsia="Times New Roman" w:hAnsi="Calibri" w:cs="Calibri"/>
          <w:b/>
          <w:bCs/>
          <w:color w:val="000000"/>
          <w:lang w:eastAsia="en-GB"/>
        </w:rPr>
        <w:t>grade</w:t>
      </w:r>
      <w:r w:rsidR="004E63FC">
        <w:rPr>
          <w:rFonts w:ascii="Calibri" w:eastAsia="Times New Roman" w:hAnsi="Calibri" w:cs="Calibri"/>
          <w:b/>
          <w:bCs/>
          <w:color w:val="000000"/>
          <w:lang w:eastAsia="en-GB"/>
        </w:rPr>
        <w:t>,</w:t>
      </w:r>
      <w:r>
        <w:rPr>
          <w:rFonts w:ascii="Calibri" w:eastAsia="Times New Roman" w:hAnsi="Calibri" w:cs="Calibri"/>
          <w:b/>
          <w:bCs/>
          <w:color w:val="000000"/>
          <w:lang w:eastAsia="en-GB"/>
        </w:rPr>
        <w:t xml:space="preserve"> </w:t>
      </w:r>
      <w:r w:rsidRPr="002F7E77">
        <w:rPr>
          <w:rFonts w:ascii="Calibri" w:eastAsia="Times New Roman" w:hAnsi="Calibri" w:cs="Calibri"/>
          <w:b/>
          <w:bCs/>
          <w:color w:val="000000"/>
          <w:lang w:eastAsia="en-GB"/>
        </w:rPr>
        <w:t>202</w:t>
      </w:r>
      <w:r w:rsidR="004D4E6B">
        <w:rPr>
          <w:rFonts w:ascii="Calibri" w:eastAsia="Times New Roman" w:hAnsi="Calibri" w:cs="Calibri"/>
          <w:b/>
          <w:bCs/>
          <w:color w:val="000000"/>
          <w:lang w:eastAsia="en-GB"/>
        </w:rPr>
        <w:t>2</w:t>
      </w:r>
      <w:r w:rsidR="004E63FC">
        <w:rPr>
          <w:rFonts w:ascii="Calibri" w:eastAsia="Times New Roman" w:hAnsi="Calibri" w:cs="Calibri"/>
          <w:b/>
          <w:bCs/>
          <w:color w:val="000000"/>
          <w:lang w:eastAsia="en-GB"/>
        </w:rPr>
        <w:t>.</w:t>
      </w:r>
    </w:p>
    <w:tbl>
      <w:tblPr>
        <w:tblStyle w:val="TableGrid"/>
        <w:tblW w:w="5031" w:type="pct"/>
        <w:tblInd w:w="-5" w:type="dxa"/>
        <w:tblLayout w:type="fixed"/>
        <w:tblLook w:val="04A0" w:firstRow="1" w:lastRow="0" w:firstColumn="1" w:lastColumn="0" w:noHBand="0" w:noVBand="1"/>
      </w:tblPr>
      <w:tblGrid>
        <w:gridCol w:w="993"/>
        <w:gridCol w:w="1277"/>
        <w:gridCol w:w="851"/>
        <w:gridCol w:w="1276"/>
        <w:gridCol w:w="849"/>
        <w:gridCol w:w="992"/>
        <w:gridCol w:w="851"/>
        <w:gridCol w:w="991"/>
        <w:gridCol w:w="992"/>
      </w:tblGrid>
      <w:tr w:rsidR="004E63FC" w:rsidRPr="004D4E6B" w14:paraId="60FBC017" w14:textId="346FD382" w:rsidTr="004E63FC">
        <w:trPr>
          <w:trHeight w:val="537"/>
        </w:trPr>
        <w:tc>
          <w:tcPr>
            <w:tcW w:w="547" w:type="pct"/>
            <w:noWrap/>
            <w:hideMark/>
          </w:tcPr>
          <w:p w14:paraId="04C1A269" w14:textId="77777777" w:rsidR="004E63FC" w:rsidRPr="004E63FC" w:rsidRDefault="004E63FC" w:rsidP="008275D2">
            <w:pPr>
              <w:rPr>
                <w:rFonts w:ascii="Calibri" w:eastAsia="Times New Roman" w:hAnsi="Calibri" w:cs="Calibri"/>
                <w:b/>
                <w:bCs/>
                <w:color w:val="000000"/>
                <w:lang w:eastAsia="en-GB"/>
              </w:rPr>
            </w:pPr>
            <w:bookmarkStart w:id="186" w:name="_Toc86832936"/>
            <w:bookmarkStart w:id="187" w:name="_Toc87435104"/>
            <w:bookmarkStart w:id="188" w:name="_Toc94184809"/>
            <w:bookmarkStart w:id="189" w:name="_Toc94185454"/>
            <w:bookmarkStart w:id="190" w:name="_Toc87856845"/>
            <w:r w:rsidRPr="004E63FC">
              <w:rPr>
                <w:rFonts w:ascii="Calibri" w:eastAsia="Times New Roman" w:hAnsi="Calibri" w:cs="Calibri"/>
                <w:b/>
                <w:bCs/>
                <w:color w:val="000000"/>
                <w:lang w:eastAsia="en-GB"/>
              </w:rPr>
              <w:t>Grade</w:t>
            </w:r>
          </w:p>
        </w:tc>
        <w:tc>
          <w:tcPr>
            <w:tcW w:w="1173" w:type="pct"/>
            <w:gridSpan w:val="2"/>
            <w:noWrap/>
            <w:hideMark/>
          </w:tcPr>
          <w:p w14:paraId="0DFA1061" w14:textId="5CE788A3" w:rsidR="004E63FC" w:rsidRPr="004E63FC" w:rsidRDefault="004E63FC" w:rsidP="004E63FC">
            <w:pPr>
              <w:jc w:val="center"/>
              <w:rPr>
                <w:rFonts w:ascii="Calibri" w:eastAsia="Times New Roman" w:hAnsi="Calibri" w:cs="Calibri"/>
                <w:b/>
                <w:bCs/>
                <w:color w:val="000000"/>
                <w:lang w:eastAsia="en-GB"/>
              </w:rPr>
            </w:pPr>
            <w:r w:rsidRPr="004E63FC">
              <w:rPr>
                <w:rFonts w:ascii="Calibri" w:eastAsia="Times New Roman" w:hAnsi="Calibri" w:cs="Calibri"/>
                <w:b/>
                <w:bCs/>
                <w:color w:val="000000"/>
                <w:lang w:eastAsia="en-GB"/>
              </w:rPr>
              <w:t>White</w:t>
            </w:r>
          </w:p>
        </w:tc>
        <w:tc>
          <w:tcPr>
            <w:tcW w:w="1171" w:type="pct"/>
            <w:gridSpan w:val="2"/>
            <w:noWrap/>
            <w:hideMark/>
          </w:tcPr>
          <w:p w14:paraId="4CC76026" w14:textId="55228F55" w:rsidR="004E63FC" w:rsidRPr="004E63FC" w:rsidRDefault="004E63FC" w:rsidP="004E63FC">
            <w:pPr>
              <w:jc w:val="center"/>
              <w:rPr>
                <w:rFonts w:ascii="Calibri" w:eastAsia="Times New Roman" w:hAnsi="Calibri" w:cs="Calibri"/>
                <w:b/>
                <w:bCs/>
                <w:color w:val="000000"/>
                <w:lang w:eastAsia="en-GB"/>
              </w:rPr>
            </w:pPr>
            <w:r w:rsidRPr="004E63FC">
              <w:rPr>
                <w:rFonts w:ascii="Calibri" w:eastAsia="Times New Roman" w:hAnsi="Calibri" w:cs="Calibri"/>
                <w:b/>
                <w:bCs/>
                <w:color w:val="000000"/>
                <w:lang w:eastAsia="en-GB"/>
              </w:rPr>
              <w:t>Colleagues from minoritised ethnic backgrounds</w:t>
            </w:r>
          </w:p>
        </w:tc>
        <w:tc>
          <w:tcPr>
            <w:tcW w:w="1016" w:type="pct"/>
            <w:gridSpan w:val="2"/>
            <w:noWrap/>
            <w:hideMark/>
          </w:tcPr>
          <w:p w14:paraId="31C483AC" w14:textId="399E7623" w:rsidR="004E63FC" w:rsidRPr="004E63FC" w:rsidRDefault="004E63FC" w:rsidP="004E63FC">
            <w:pPr>
              <w:jc w:val="center"/>
              <w:rPr>
                <w:rFonts w:ascii="Calibri" w:eastAsia="Times New Roman" w:hAnsi="Calibri" w:cs="Calibri"/>
                <w:b/>
                <w:bCs/>
                <w:color w:val="000000"/>
                <w:lang w:eastAsia="en-GB"/>
              </w:rPr>
            </w:pPr>
            <w:r w:rsidRPr="004E63FC">
              <w:rPr>
                <w:rFonts w:ascii="Calibri" w:eastAsia="Times New Roman" w:hAnsi="Calibri" w:cs="Calibri"/>
                <w:b/>
                <w:bCs/>
                <w:color w:val="000000"/>
                <w:lang w:eastAsia="en-GB"/>
              </w:rPr>
              <w:t>Prefer not to say</w:t>
            </w:r>
          </w:p>
        </w:tc>
        <w:tc>
          <w:tcPr>
            <w:tcW w:w="1093" w:type="pct"/>
            <w:gridSpan w:val="2"/>
          </w:tcPr>
          <w:p w14:paraId="4111EDAE" w14:textId="722F582C" w:rsidR="004E63FC" w:rsidRPr="004E63FC" w:rsidRDefault="004E63FC" w:rsidP="004E63FC">
            <w:pPr>
              <w:jc w:val="center"/>
              <w:rPr>
                <w:rFonts w:ascii="Calibri" w:eastAsia="Times New Roman" w:hAnsi="Calibri" w:cs="Calibri"/>
                <w:b/>
                <w:bCs/>
                <w:color w:val="000000"/>
                <w:lang w:eastAsia="en-GB"/>
              </w:rPr>
            </w:pPr>
            <w:r w:rsidRPr="004E63FC">
              <w:rPr>
                <w:rFonts w:ascii="Calibri" w:eastAsia="Times New Roman" w:hAnsi="Calibri" w:cs="Calibri"/>
                <w:b/>
                <w:bCs/>
                <w:color w:val="000000"/>
                <w:lang w:eastAsia="en-GB"/>
              </w:rPr>
              <w:t>No response provided</w:t>
            </w:r>
          </w:p>
        </w:tc>
      </w:tr>
      <w:tr w:rsidR="004E63FC" w:rsidRPr="004D4E6B" w14:paraId="1D38E15F" w14:textId="67D802AD" w:rsidTr="0021629A">
        <w:trPr>
          <w:trHeight w:val="219"/>
        </w:trPr>
        <w:tc>
          <w:tcPr>
            <w:tcW w:w="547" w:type="pct"/>
            <w:noWrap/>
          </w:tcPr>
          <w:p w14:paraId="04E0DAA2" w14:textId="77777777" w:rsidR="004E63FC" w:rsidRPr="004E63FC" w:rsidRDefault="004E63FC" w:rsidP="004E63FC">
            <w:pPr>
              <w:rPr>
                <w:rFonts w:ascii="Calibri" w:eastAsia="Times New Roman" w:hAnsi="Calibri" w:cs="Calibri"/>
                <w:b/>
                <w:bCs/>
                <w:color w:val="000000"/>
                <w:lang w:eastAsia="en-GB"/>
              </w:rPr>
            </w:pPr>
          </w:p>
        </w:tc>
        <w:tc>
          <w:tcPr>
            <w:tcW w:w="704" w:type="pct"/>
            <w:noWrap/>
          </w:tcPr>
          <w:p w14:paraId="41302030" w14:textId="1E06F660" w:rsidR="004E63FC" w:rsidRPr="004E63FC" w:rsidRDefault="004E63FC" w:rsidP="004E63FC">
            <w:pPr>
              <w:jc w:val="center"/>
              <w:rPr>
                <w:rFonts w:ascii="Calibri" w:eastAsia="Times New Roman" w:hAnsi="Calibri" w:cs="Calibri"/>
                <w:b/>
                <w:bCs/>
                <w:color w:val="000000"/>
                <w:lang w:eastAsia="en-GB"/>
              </w:rPr>
            </w:pPr>
            <w:r w:rsidRPr="004E63FC">
              <w:rPr>
                <w:rFonts w:ascii="Calibri" w:eastAsia="Times New Roman" w:hAnsi="Calibri" w:cs="Calibri"/>
                <w:b/>
                <w:bCs/>
                <w:color w:val="000000"/>
                <w:lang w:eastAsia="en-GB"/>
              </w:rPr>
              <w:t>n</w:t>
            </w:r>
          </w:p>
        </w:tc>
        <w:tc>
          <w:tcPr>
            <w:tcW w:w="469" w:type="pct"/>
          </w:tcPr>
          <w:p w14:paraId="07EBD545" w14:textId="0C2671A8" w:rsidR="004E63FC" w:rsidRPr="004E63FC" w:rsidRDefault="004E63FC" w:rsidP="004E63FC">
            <w:pPr>
              <w:jc w:val="center"/>
              <w:rPr>
                <w:rFonts w:ascii="Calibri" w:eastAsia="Times New Roman" w:hAnsi="Calibri" w:cs="Calibri"/>
                <w:b/>
                <w:bCs/>
                <w:color w:val="000000"/>
                <w:lang w:eastAsia="en-GB"/>
              </w:rPr>
            </w:pPr>
            <w:r w:rsidRPr="004E63FC">
              <w:rPr>
                <w:rFonts w:ascii="Calibri" w:eastAsia="Times New Roman" w:hAnsi="Calibri" w:cs="Calibri"/>
                <w:b/>
                <w:bCs/>
                <w:color w:val="000000"/>
                <w:lang w:eastAsia="en-GB"/>
              </w:rPr>
              <w:t>%</w:t>
            </w:r>
          </w:p>
        </w:tc>
        <w:tc>
          <w:tcPr>
            <w:tcW w:w="703" w:type="pct"/>
            <w:noWrap/>
          </w:tcPr>
          <w:p w14:paraId="6E4FB923" w14:textId="39E2F706" w:rsidR="004E63FC" w:rsidRPr="004E63FC" w:rsidRDefault="004E63FC" w:rsidP="004E63FC">
            <w:pPr>
              <w:jc w:val="center"/>
              <w:rPr>
                <w:rFonts w:ascii="Calibri" w:eastAsia="Times New Roman" w:hAnsi="Calibri" w:cs="Calibri"/>
                <w:b/>
                <w:bCs/>
                <w:color w:val="000000"/>
                <w:lang w:eastAsia="en-GB"/>
              </w:rPr>
            </w:pPr>
            <w:r w:rsidRPr="004E63FC">
              <w:rPr>
                <w:rFonts w:ascii="Calibri" w:eastAsia="Times New Roman" w:hAnsi="Calibri" w:cs="Calibri"/>
                <w:b/>
                <w:bCs/>
                <w:color w:val="000000"/>
                <w:lang w:eastAsia="en-GB"/>
              </w:rPr>
              <w:t>n</w:t>
            </w:r>
          </w:p>
        </w:tc>
        <w:tc>
          <w:tcPr>
            <w:tcW w:w="468" w:type="pct"/>
          </w:tcPr>
          <w:p w14:paraId="4D24DCA5" w14:textId="532B7579" w:rsidR="004E63FC" w:rsidRPr="004E63FC" w:rsidRDefault="004E63FC" w:rsidP="004E63FC">
            <w:pPr>
              <w:jc w:val="center"/>
              <w:rPr>
                <w:rFonts w:ascii="Calibri" w:eastAsia="Times New Roman" w:hAnsi="Calibri" w:cs="Calibri"/>
                <w:b/>
                <w:bCs/>
                <w:color w:val="000000"/>
                <w:lang w:eastAsia="en-GB"/>
              </w:rPr>
            </w:pPr>
            <w:r w:rsidRPr="004E63FC">
              <w:rPr>
                <w:rFonts w:ascii="Calibri" w:eastAsia="Times New Roman" w:hAnsi="Calibri" w:cs="Calibri"/>
                <w:b/>
                <w:bCs/>
                <w:color w:val="000000"/>
                <w:lang w:eastAsia="en-GB"/>
              </w:rPr>
              <w:t>%</w:t>
            </w:r>
          </w:p>
        </w:tc>
        <w:tc>
          <w:tcPr>
            <w:tcW w:w="547" w:type="pct"/>
            <w:noWrap/>
          </w:tcPr>
          <w:p w14:paraId="037E5C8B" w14:textId="45468A0F" w:rsidR="004E63FC" w:rsidRPr="004E63FC" w:rsidRDefault="004E63FC" w:rsidP="004E63FC">
            <w:pPr>
              <w:jc w:val="center"/>
              <w:rPr>
                <w:rFonts w:ascii="Calibri" w:eastAsia="Times New Roman" w:hAnsi="Calibri" w:cs="Calibri"/>
                <w:b/>
                <w:bCs/>
                <w:color w:val="000000"/>
                <w:lang w:eastAsia="en-GB"/>
              </w:rPr>
            </w:pPr>
            <w:r w:rsidRPr="004E63FC">
              <w:rPr>
                <w:rFonts w:ascii="Calibri" w:eastAsia="Times New Roman" w:hAnsi="Calibri" w:cs="Calibri"/>
                <w:b/>
                <w:bCs/>
                <w:color w:val="000000"/>
                <w:lang w:eastAsia="en-GB"/>
              </w:rPr>
              <w:t>n</w:t>
            </w:r>
          </w:p>
        </w:tc>
        <w:tc>
          <w:tcPr>
            <w:tcW w:w="469" w:type="pct"/>
          </w:tcPr>
          <w:p w14:paraId="1667F968" w14:textId="3E2B38E4" w:rsidR="004E63FC" w:rsidRPr="004E63FC" w:rsidRDefault="004E63FC" w:rsidP="004E63FC">
            <w:pPr>
              <w:jc w:val="center"/>
              <w:rPr>
                <w:rFonts w:ascii="Calibri" w:eastAsia="Times New Roman" w:hAnsi="Calibri" w:cs="Calibri"/>
                <w:b/>
                <w:bCs/>
                <w:color w:val="000000"/>
                <w:lang w:eastAsia="en-GB"/>
              </w:rPr>
            </w:pPr>
            <w:r w:rsidRPr="004E63FC">
              <w:rPr>
                <w:rFonts w:ascii="Calibri" w:eastAsia="Times New Roman" w:hAnsi="Calibri" w:cs="Calibri"/>
                <w:b/>
                <w:bCs/>
                <w:color w:val="000000"/>
                <w:lang w:eastAsia="en-GB"/>
              </w:rPr>
              <w:t>%</w:t>
            </w:r>
          </w:p>
        </w:tc>
        <w:tc>
          <w:tcPr>
            <w:tcW w:w="546" w:type="pct"/>
          </w:tcPr>
          <w:p w14:paraId="21B0F878" w14:textId="2A1A58FE" w:rsidR="004E63FC" w:rsidRPr="004E63FC" w:rsidRDefault="004E63FC" w:rsidP="004E63FC">
            <w:pPr>
              <w:jc w:val="center"/>
              <w:rPr>
                <w:rFonts w:ascii="Calibri" w:eastAsia="Times New Roman" w:hAnsi="Calibri" w:cs="Calibri"/>
                <w:b/>
                <w:bCs/>
                <w:color w:val="000000"/>
                <w:lang w:eastAsia="en-GB"/>
              </w:rPr>
            </w:pPr>
            <w:r w:rsidRPr="004E63FC">
              <w:rPr>
                <w:rFonts w:ascii="Calibri" w:eastAsia="Times New Roman" w:hAnsi="Calibri" w:cs="Calibri"/>
                <w:b/>
                <w:bCs/>
                <w:color w:val="000000"/>
                <w:lang w:eastAsia="en-GB"/>
              </w:rPr>
              <w:t>n</w:t>
            </w:r>
          </w:p>
        </w:tc>
        <w:tc>
          <w:tcPr>
            <w:tcW w:w="547" w:type="pct"/>
          </w:tcPr>
          <w:p w14:paraId="64EB9836" w14:textId="4FD4C0FE" w:rsidR="004E63FC" w:rsidRPr="004E63FC" w:rsidRDefault="004E63FC" w:rsidP="004E63FC">
            <w:pPr>
              <w:jc w:val="center"/>
              <w:rPr>
                <w:rFonts w:ascii="Calibri" w:eastAsia="Times New Roman" w:hAnsi="Calibri" w:cs="Calibri"/>
                <w:b/>
                <w:bCs/>
                <w:color w:val="000000"/>
                <w:lang w:eastAsia="en-GB"/>
              </w:rPr>
            </w:pPr>
            <w:r w:rsidRPr="004E63FC">
              <w:rPr>
                <w:rFonts w:ascii="Calibri" w:eastAsia="Times New Roman" w:hAnsi="Calibri" w:cs="Calibri"/>
                <w:b/>
                <w:bCs/>
                <w:color w:val="000000"/>
                <w:lang w:eastAsia="en-GB"/>
              </w:rPr>
              <w:t>%</w:t>
            </w:r>
          </w:p>
        </w:tc>
      </w:tr>
      <w:tr w:rsidR="004E63FC" w:rsidRPr="004D4E6B" w14:paraId="65E87741" w14:textId="3D3B4900" w:rsidTr="00F44A1E">
        <w:trPr>
          <w:trHeight w:val="361"/>
        </w:trPr>
        <w:tc>
          <w:tcPr>
            <w:tcW w:w="547" w:type="pct"/>
            <w:noWrap/>
            <w:hideMark/>
          </w:tcPr>
          <w:p w14:paraId="43C181DF" w14:textId="77777777" w:rsidR="004E63FC" w:rsidRPr="004E63FC" w:rsidRDefault="004E63FC" w:rsidP="004E63FC">
            <w:pPr>
              <w:rPr>
                <w:rFonts w:ascii="Calibri" w:eastAsia="Times New Roman" w:hAnsi="Calibri" w:cs="Calibri"/>
                <w:color w:val="000000"/>
                <w:lang w:eastAsia="en-GB"/>
              </w:rPr>
            </w:pPr>
            <w:r w:rsidRPr="004E63FC">
              <w:rPr>
                <w:rFonts w:ascii="Calibri" w:eastAsia="Times New Roman" w:hAnsi="Calibri" w:cs="Calibri"/>
                <w:color w:val="000000"/>
                <w:lang w:eastAsia="en-GB"/>
              </w:rPr>
              <w:t>Grade A</w:t>
            </w:r>
          </w:p>
        </w:tc>
        <w:tc>
          <w:tcPr>
            <w:tcW w:w="704" w:type="pct"/>
            <w:noWrap/>
            <w:vAlign w:val="bottom"/>
            <w:hideMark/>
          </w:tcPr>
          <w:p w14:paraId="71A016E9" w14:textId="36FA9037" w:rsidR="004E63FC" w:rsidRPr="004E63FC" w:rsidRDefault="004E63FC" w:rsidP="004E63FC">
            <w:pPr>
              <w:jc w:val="center"/>
              <w:rPr>
                <w:rFonts w:ascii="Calibri" w:eastAsia="Times New Roman" w:hAnsi="Calibri" w:cs="Calibri"/>
                <w:color w:val="000000"/>
                <w:lang w:eastAsia="en-GB"/>
              </w:rPr>
            </w:pPr>
            <w:r w:rsidRPr="004E63FC">
              <w:rPr>
                <w:rFonts w:ascii="Calibri" w:hAnsi="Calibri" w:cs="Calibri"/>
                <w:color w:val="000000"/>
              </w:rPr>
              <w:t>308</w:t>
            </w:r>
          </w:p>
        </w:tc>
        <w:tc>
          <w:tcPr>
            <w:tcW w:w="469" w:type="pct"/>
            <w:vAlign w:val="bottom"/>
          </w:tcPr>
          <w:p w14:paraId="1E339BFD" w14:textId="457B6F9D" w:rsidR="004E63FC" w:rsidRPr="004E63FC" w:rsidRDefault="004E63FC" w:rsidP="004E63FC">
            <w:pPr>
              <w:jc w:val="center"/>
              <w:rPr>
                <w:rFonts w:ascii="Calibri" w:eastAsia="Times New Roman" w:hAnsi="Calibri" w:cs="Calibri"/>
                <w:color w:val="000000"/>
                <w:lang w:eastAsia="en-GB"/>
              </w:rPr>
            </w:pPr>
            <w:r w:rsidRPr="004E63FC">
              <w:rPr>
                <w:rFonts w:ascii="Calibri" w:hAnsi="Calibri" w:cs="Calibri"/>
                <w:color w:val="000000"/>
              </w:rPr>
              <w:t>94.8%</w:t>
            </w:r>
          </w:p>
        </w:tc>
        <w:tc>
          <w:tcPr>
            <w:tcW w:w="703" w:type="pct"/>
            <w:noWrap/>
            <w:vAlign w:val="bottom"/>
            <w:hideMark/>
          </w:tcPr>
          <w:p w14:paraId="259BCCC0" w14:textId="5BA81F62" w:rsidR="004E63FC" w:rsidRPr="004E63FC" w:rsidRDefault="004E63FC" w:rsidP="004E63FC">
            <w:pPr>
              <w:jc w:val="center"/>
              <w:rPr>
                <w:rFonts w:ascii="Calibri" w:eastAsia="Times New Roman" w:hAnsi="Calibri" w:cs="Calibri"/>
                <w:color w:val="000000"/>
                <w:lang w:eastAsia="en-GB"/>
              </w:rPr>
            </w:pPr>
            <w:r w:rsidRPr="004E63FC">
              <w:rPr>
                <w:rFonts w:ascii="Calibri" w:hAnsi="Calibri" w:cs="Calibri"/>
                <w:color w:val="000000"/>
              </w:rPr>
              <w:t>11</w:t>
            </w:r>
          </w:p>
        </w:tc>
        <w:tc>
          <w:tcPr>
            <w:tcW w:w="468" w:type="pct"/>
            <w:vAlign w:val="bottom"/>
          </w:tcPr>
          <w:p w14:paraId="7A3913B8" w14:textId="5BC8E7CA" w:rsidR="004E63FC" w:rsidRPr="004E63FC" w:rsidRDefault="004E63FC" w:rsidP="004E63FC">
            <w:pPr>
              <w:jc w:val="center"/>
              <w:rPr>
                <w:rFonts w:ascii="Calibri" w:eastAsia="Times New Roman" w:hAnsi="Calibri" w:cs="Calibri"/>
                <w:color w:val="000000"/>
                <w:lang w:eastAsia="en-GB"/>
              </w:rPr>
            </w:pPr>
            <w:r w:rsidRPr="004E63FC">
              <w:rPr>
                <w:rFonts w:ascii="Calibri" w:hAnsi="Calibri" w:cs="Calibri"/>
                <w:color w:val="000000"/>
              </w:rPr>
              <w:t>3.4%</w:t>
            </w:r>
          </w:p>
        </w:tc>
        <w:tc>
          <w:tcPr>
            <w:tcW w:w="547" w:type="pct"/>
            <w:noWrap/>
            <w:vAlign w:val="bottom"/>
            <w:hideMark/>
          </w:tcPr>
          <w:p w14:paraId="650AAF00" w14:textId="6D10713A" w:rsidR="004E63FC" w:rsidRPr="004E63FC" w:rsidRDefault="004E63FC" w:rsidP="004E63FC">
            <w:pPr>
              <w:jc w:val="center"/>
              <w:rPr>
                <w:rFonts w:ascii="Calibri" w:eastAsia="Times New Roman" w:hAnsi="Calibri" w:cs="Calibri"/>
                <w:color w:val="000000"/>
                <w:lang w:eastAsia="en-GB"/>
              </w:rPr>
            </w:pPr>
            <w:r w:rsidRPr="004E63FC">
              <w:rPr>
                <w:rFonts w:ascii="Calibri" w:hAnsi="Calibri" w:cs="Calibri"/>
                <w:color w:val="000000"/>
              </w:rPr>
              <w:t>6</w:t>
            </w:r>
          </w:p>
        </w:tc>
        <w:tc>
          <w:tcPr>
            <w:tcW w:w="469" w:type="pct"/>
            <w:vAlign w:val="bottom"/>
          </w:tcPr>
          <w:p w14:paraId="4CDAEB69" w14:textId="2AD4ACE4" w:rsidR="004E63FC" w:rsidRPr="004E63FC" w:rsidRDefault="004E63FC" w:rsidP="004E63FC">
            <w:pPr>
              <w:jc w:val="center"/>
              <w:rPr>
                <w:rFonts w:ascii="Calibri" w:eastAsia="Times New Roman" w:hAnsi="Calibri" w:cs="Calibri"/>
                <w:color w:val="000000"/>
                <w:lang w:eastAsia="en-GB"/>
              </w:rPr>
            </w:pPr>
            <w:r w:rsidRPr="004E63FC">
              <w:rPr>
                <w:rFonts w:ascii="Calibri" w:hAnsi="Calibri" w:cs="Calibri"/>
                <w:color w:val="000000"/>
              </w:rPr>
              <w:t>1.8%</w:t>
            </w:r>
          </w:p>
        </w:tc>
        <w:tc>
          <w:tcPr>
            <w:tcW w:w="546" w:type="pct"/>
            <w:vAlign w:val="bottom"/>
          </w:tcPr>
          <w:p w14:paraId="6D9FC1ED" w14:textId="3BF9732E" w:rsidR="004E63FC" w:rsidRPr="004E63FC" w:rsidRDefault="004E63FC" w:rsidP="004E63FC">
            <w:pPr>
              <w:jc w:val="center"/>
              <w:rPr>
                <w:rFonts w:ascii="Calibri" w:eastAsia="Times New Roman" w:hAnsi="Calibri" w:cs="Calibri"/>
                <w:color w:val="000000"/>
                <w:lang w:eastAsia="en-GB"/>
              </w:rPr>
            </w:pPr>
            <w:r w:rsidRPr="004E63FC">
              <w:rPr>
                <w:rFonts w:ascii="Calibri" w:hAnsi="Calibri" w:cs="Calibri"/>
                <w:color w:val="000000"/>
              </w:rPr>
              <w:t>…</w:t>
            </w:r>
          </w:p>
        </w:tc>
        <w:tc>
          <w:tcPr>
            <w:tcW w:w="547" w:type="pct"/>
            <w:vAlign w:val="bottom"/>
          </w:tcPr>
          <w:p w14:paraId="266C68BB" w14:textId="6BC48912" w:rsidR="004E63FC" w:rsidRPr="004E63FC" w:rsidRDefault="004E63FC" w:rsidP="004E63FC">
            <w:pPr>
              <w:jc w:val="center"/>
              <w:rPr>
                <w:rFonts w:ascii="Calibri" w:eastAsia="Times New Roman" w:hAnsi="Calibri" w:cs="Calibri"/>
                <w:color w:val="000000"/>
                <w:lang w:eastAsia="en-GB"/>
              </w:rPr>
            </w:pPr>
            <w:r w:rsidRPr="004E63FC">
              <w:rPr>
                <w:rFonts w:ascii="Calibri" w:hAnsi="Calibri" w:cs="Calibri"/>
                <w:color w:val="000000"/>
              </w:rPr>
              <w:t>…</w:t>
            </w:r>
          </w:p>
        </w:tc>
      </w:tr>
      <w:tr w:rsidR="004E63FC" w:rsidRPr="004D4E6B" w14:paraId="461EF031" w14:textId="27FA9EB5" w:rsidTr="00F44A1E">
        <w:trPr>
          <w:trHeight w:val="267"/>
        </w:trPr>
        <w:tc>
          <w:tcPr>
            <w:tcW w:w="547" w:type="pct"/>
            <w:noWrap/>
            <w:hideMark/>
          </w:tcPr>
          <w:p w14:paraId="2233D3CE" w14:textId="77777777" w:rsidR="004E63FC" w:rsidRPr="004E63FC" w:rsidRDefault="004E63FC" w:rsidP="004E63FC">
            <w:pPr>
              <w:rPr>
                <w:rFonts w:ascii="Calibri" w:eastAsia="Times New Roman" w:hAnsi="Calibri" w:cs="Calibri"/>
                <w:color w:val="000000"/>
                <w:lang w:eastAsia="en-GB"/>
              </w:rPr>
            </w:pPr>
            <w:r w:rsidRPr="004E63FC">
              <w:rPr>
                <w:rFonts w:ascii="Calibri" w:eastAsia="Times New Roman" w:hAnsi="Calibri" w:cs="Calibri"/>
                <w:color w:val="000000"/>
                <w:lang w:eastAsia="en-GB"/>
              </w:rPr>
              <w:t>Grade B</w:t>
            </w:r>
          </w:p>
        </w:tc>
        <w:tc>
          <w:tcPr>
            <w:tcW w:w="704" w:type="pct"/>
            <w:noWrap/>
            <w:vAlign w:val="bottom"/>
            <w:hideMark/>
          </w:tcPr>
          <w:p w14:paraId="39513B7C" w14:textId="1D2078B1" w:rsidR="004E63FC" w:rsidRPr="004E63FC" w:rsidRDefault="004E63FC" w:rsidP="004E63FC">
            <w:pPr>
              <w:jc w:val="center"/>
              <w:rPr>
                <w:rFonts w:ascii="Calibri" w:eastAsia="Times New Roman" w:hAnsi="Calibri" w:cs="Calibri"/>
                <w:color w:val="000000"/>
                <w:lang w:eastAsia="en-GB"/>
              </w:rPr>
            </w:pPr>
            <w:r w:rsidRPr="004E63FC">
              <w:rPr>
                <w:rFonts w:ascii="Calibri" w:hAnsi="Calibri" w:cs="Calibri"/>
                <w:color w:val="000000"/>
              </w:rPr>
              <w:t>144</w:t>
            </w:r>
          </w:p>
        </w:tc>
        <w:tc>
          <w:tcPr>
            <w:tcW w:w="469" w:type="pct"/>
            <w:vAlign w:val="bottom"/>
          </w:tcPr>
          <w:p w14:paraId="76D70B94" w14:textId="01C2DBD2" w:rsidR="004E63FC" w:rsidRPr="004E63FC" w:rsidRDefault="004E63FC" w:rsidP="004E63FC">
            <w:pPr>
              <w:jc w:val="center"/>
              <w:rPr>
                <w:rFonts w:ascii="Calibri" w:eastAsia="Times New Roman" w:hAnsi="Calibri" w:cs="Calibri"/>
                <w:color w:val="000000"/>
                <w:lang w:eastAsia="en-GB"/>
              </w:rPr>
            </w:pPr>
            <w:r w:rsidRPr="004E63FC">
              <w:rPr>
                <w:rFonts w:ascii="Calibri" w:hAnsi="Calibri" w:cs="Calibri"/>
                <w:color w:val="000000"/>
              </w:rPr>
              <w:t>86.7%</w:t>
            </w:r>
          </w:p>
        </w:tc>
        <w:tc>
          <w:tcPr>
            <w:tcW w:w="703" w:type="pct"/>
            <w:noWrap/>
            <w:vAlign w:val="bottom"/>
            <w:hideMark/>
          </w:tcPr>
          <w:p w14:paraId="7C63DFFB" w14:textId="2BFF9A79" w:rsidR="004E63FC" w:rsidRPr="004E63FC" w:rsidRDefault="004E63FC" w:rsidP="004E63FC">
            <w:pPr>
              <w:jc w:val="center"/>
              <w:rPr>
                <w:rFonts w:ascii="Calibri" w:eastAsia="Times New Roman" w:hAnsi="Calibri" w:cs="Calibri"/>
                <w:color w:val="000000"/>
                <w:lang w:eastAsia="en-GB"/>
              </w:rPr>
            </w:pPr>
            <w:r w:rsidRPr="004E63FC">
              <w:rPr>
                <w:rFonts w:ascii="Calibri" w:hAnsi="Calibri" w:cs="Calibri"/>
                <w:color w:val="000000"/>
              </w:rPr>
              <w:t>8</w:t>
            </w:r>
          </w:p>
        </w:tc>
        <w:tc>
          <w:tcPr>
            <w:tcW w:w="468" w:type="pct"/>
            <w:vAlign w:val="bottom"/>
          </w:tcPr>
          <w:p w14:paraId="43D702BB" w14:textId="07D5DEAA" w:rsidR="004E63FC" w:rsidRPr="004E63FC" w:rsidRDefault="004E63FC" w:rsidP="004E63FC">
            <w:pPr>
              <w:jc w:val="center"/>
              <w:rPr>
                <w:rFonts w:ascii="Calibri" w:eastAsia="Times New Roman" w:hAnsi="Calibri" w:cs="Calibri"/>
                <w:color w:val="000000"/>
                <w:lang w:eastAsia="en-GB"/>
              </w:rPr>
            </w:pPr>
            <w:r w:rsidRPr="004E63FC">
              <w:rPr>
                <w:rFonts w:ascii="Calibri" w:hAnsi="Calibri" w:cs="Calibri"/>
                <w:color w:val="000000"/>
              </w:rPr>
              <w:t>4.8%</w:t>
            </w:r>
          </w:p>
        </w:tc>
        <w:tc>
          <w:tcPr>
            <w:tcW w:w="547" w:type="pct"/>
            <w:noWrap/>
            <w:vAlign w:val="bottom"/>
            <w:hideMark/>
          </w:tcPr>
          <w:p w14:paraId="1E949B85" w14:textId="2DDAF285" w:rsidR="004E63FC" w:rsidRPr="004E63FC" w:rsidRDefault="004E63FC" w:rsidP="004E63FC">
            <w:pPr>
              <w:jc w:val="center"/>
              <w:rPr>
                <w:rFonts w:ascii="Calibri" w:eastAsia="Times New Roman" w:hAnsi="Calibri" w:cs="Calibri"/>
                <w:color w:val="000000"/>
                <w:lang w:eastAsia="en-GB"/>
              </w:rPr>
            </w:pPr>
            <w:r w:rsidRPr="004E63FC">
              <w:rPr>
                <w:rFonts w:ascii="Calibri" w:hAnsi="Calibri" w:cs="Calibri"/>
                <w:color w:val="000000"/>
              </w:rPr>
              <w:t>14</w:t>
            </w:r>
          </w:p>
        </w:tc>
        <w:tc>
          <w:tcPr>
            <w:tcW w:w="469" w:type="pct"/>
            <w:vAlign w:val="bottom"/>
          </w:tcPr>
          <w:p w14:paraId="7E9E5E85" w14:textId="439698D4" w:rsidR="004E63FC" w:rsidRPr="004E63FC" w:rsidRDefault="004E63FC" w:rsidP="004E63FC">
            <w:pPr>
              <w:jc w:val="center"/>
              <w:rPr>
                <w:rFonts w:ascii="Calibri" w:eastAsia="Times New Roman" w:hAnsi="Calibri" w:cs="Calibri"/>
                <w:color w:val="000000"/>
                <w:lang w:eastAsia="en-GB"/>
              </w:rPr>
            </w:pPr>
            <w:r w:rsidRPr="004E63FC">
              <w:rPr>
                <w:rFonts w:ascii="Calibri" w:hAnsi="Calibri" w:cs="Calibri"/>
                <w:color w:val="000000"/>
              </w:rPr>
              <w:t>8.4%</w:t>
            </w:r>
          </w:p>
        </w:tc>
        <w:tc>
          <w:tcPr>
            <w:tcW w:w="546" w:type="pct"/>
            <w:vAlign w:val="bottom"/>
          </w:tcPr>
          <w:p w14:paraId="2FA0F6B9" w14:textId="0371E5EB" w:rsidR="004E63FC" w:rsidRPr="004E63FC" w:rsidRDefault="004E63FC" w:rsidP="004E63FC">
            <w:pPr>
              <w:jc w:val="center"/>
              <w:rPr>
                <w:rFonts w:ascii="Calibri" w:eastAsia="Times New Roman" w:hAnsi="Calibri" w:cs="Calibri"/>
                <w:color w:val="000000"/>
                <w:lang w:eastAsia="en-GB"/>
              </w:rPr>
            </w:pPr>
            <w:r w:rsidRPr="004E63FC">
              <w:rPr>
                <w:rFonts w:ascii="Calibri" w:hAnsi="Calibri" w:cs="Calibri"/>
                <w:color w:val="000000"/>
              </w:rPr>
              <w:t>…</w:t>
            </w:r>
          </w:p>
        </w:tc>
        <w:tc>
          <w:tcPr>
            <w:tcW w:w="547" w:type="pct"/>
            <w:vAlign w:val="bottom"/>
          </w:tcPr>
          <w:p w14:paraId="54A75840" w14:textId="438E273C" w:rsidR="004E63FC" w:rsidRPr="004E63FC" w:rsidRDefault="004E63FC" w:rsidP="004E63FC">
            <w:pPr>
              <w:jc w:val="center"/>
              <w:rPr>
                <w:rFonts w:ascii="Calibri" w:eastAsia="Times New Roman" w:hAnsi="Calibri" w:cs="Calibri"/>
                <w:color w:val="000000"/>
                <w:lang w:eastAsia="en-GB"/>
              </w:rPr>
            </w:pPr>
            <w:r w:rsidRPr="004E63FC">
              <w:rPr>
                <w:rFonts w:ascii="Calibri" w:hAnsi="Calibri" w:cs="Calibri"/>
                <w:color w:val="000000"/>
              </w:rPr>
              <w:t>…</w:t>
            </w:r>
          </w:p>
        </w:tc>
      </w:tr>
      <w:tr w:rsidR="004E63FC" w:rsidRPr="004D4E6B" w14:paraId="729DDDAF" w14:textId="32F16891" w:rsidTr="00F44A1E">
        <w:trPr>
          <w:trHeight w:val="262"/>
        </w:trPr>
        <w:tc>
          <w:tcPr>
            <w:tcW w:w="547" w:type="pct"/>
            <w:noWrap/>
            <w:hideMark/>
          </w:tcPr>
          <w:p w14:paraId="2BF16E74" w14:textId="77777777" w:rsidR="004E63FC" w:rsidRPr="004E63FC" w:rsidRDefault="004E63FC" w:rsidP="004E63FC">
            <w:pPr>
              <w:rPr>
                <w:rFonts w:ascii="Calibri" w:eastAsia="Times New Roman" w:hAnsi="Calibri" w:cs="Calibri"/>
                <w:color w:val="000000"/>
                <w:lang w:eastAsia="en-GB"/>
              </w:rPr>
            </w:pPr>
            <w:r w:rsidRPr="004E63FC">
              <w:rPr>
                <w:rFonts w:ascii="Calibri" w:eastAsia="Times New Roman" w:hAnsi="Calibri" w:cs="Calibri"/>
                <w:color w:val="000000"/>
                <w:lang w:eastAsia="en-GB"/>
              </w:rPr>
              <w:t>Grade C</w:t>
            </w:r>
          </w:p>
        </w:tc>
        <w:tc>
          <w:tcPr>
            <w:tcW w:w="704" w:type="pct"/>
            <w:noWrap/>
            <w:vAlign w:val="bottom"/>
            <w:hideMark/>
          </w:tcPr>
          <w:p w14:paraId="68272C22" w14:textId="51005022" w:rsidR="004E63FC" w:rsidRPr="004E63FC" w:rsidRDefault="004E63FC" w:rsidP="004E63FC">
            <w:pPr>
              <w:jc w:val="center"/>
              <w:rPr>
                <w:rFonts w:ascii="Calibri" w:eastAsia="Times New Roman" w:hAnsi="Calibri" w:cs="Calibri"/>
                <w:color w:val="000000"/>
                <w:lang w:eastAsia="en-GB"/>
              </w:rPr>
            </w:pPr>
            <w:r w:rsidRPr="004E63FC">
              <w:rPr>
                <w:rFonts w:ascii="Calibri" w:hAnsi="Calibri" w:cs="Calibri"/>
                <w:color w:val="000000"/>
              </w:rPr>
              <w:t>434</w:t>
            </w:r>
          </w:p>
        </w:tc>
        <w:tc>
          <w:tcPr>
            <w:tcW w:w="469" w:type="pct"/>
            <w:vAlign w:val="bottom"/>
          </w:tcPr>
          <w:p w14:paraId="76A97752" w14:textId="140EF7A1" w:rsidR="004E63FC" w:rsidRPr="004E63FC" w:rsidRDefault="004E63FC" w:rsidP="004E63FC">
            <w:pPr>
              <w:jc w:val="center"/>
              <w:rPr>
                <w:rFonts w:ascii="Calibri" w:eastAsia="Times New Roman" w:hAnsi="Calibri" w:cs="Calibri"/>
                <w:color w:val="000000"/>
                <w:lang w:eastAsia="en-GB"/>
              </w:rPr>
            </w:pPr>
            <w:r w:rsidRPr="004E63FC">
              <w:rPr>
                <w:rFonts w:ascii="Calibri" w:hAnsi="Calibri" w:cs="Calibri"/>
                <w:color w:val="000000"/>
              </w:rPr>
              <w:t>91.9%</w:t>
            </w:r>
          </w:p>
        </w:tc>
        <w:tc>
          <w:tcPr>
            <w:tcW w:w="703" w:type="pct"/>
            <w:noWrap/>
            <w:vAlign w:val="bottom"/>
            <w:hideMark/>
          </w:tcPr>
          <w:p w14:paraId="41D505F1" w14:textId="05021FC4" w:rsidR="004E63FC" w:rsidRPr="004E63FC" w:rsidRDefault="004E63FC" w:rsidP="004E63FC">
            <w:pPr>
              <w:jc w:val="center"/>
              <w:rPr>
                <w:rFonts w:ascii="Calibri" w:eastAsia="Times New Roman" w:hAnsi="Calibri" w:cs="Calibri"/>
                <w:color w:val="000000"/>
                <w:lang w:eastAsia="en-GB"/>
              </w:rPr>
            </w:pPr>
            <w:r w:rsidRPr="004E63FC">
              <w:rPr>
                <w:rFonts w:ascii="Calibri" w:hAnsi="Calibri" w:cs="Calibri"/>
                <w:color w:val="000000"/>
              </w:rPr>
              <w:t>26</w:t>
            </w:r>
          </w:p>
        </w:tc>
        <w:tc>
          <w:tcPr>
            <w:tcW w:w="468" w:type="pct"/>
            <w:vAlign w:val="bottom"/>
          </w:tcPr>
          <w:p w14:paraId="06572A67" w14:textId="3D8961F8" w:rsidR="004E63FC" w:rsidRPr="004E63FC" w:rsidRDefault="004E63FC" w:rsidP="004E63FC">
            <w:pPr>
              <w:jc w:val="center"/>
              <w:rPr>
                <w:rFonts w:ascii="Calibri" w:eastAsia="Times New Roman" w:hAnsi="Calibri" w:cs="Calibri"/>
                <w:color w:val="000000"/>
                <w:lang w:eastAsia="en-GB"/>
              </w:rPr>
            </w:pPr>
            <w:r w:rsidRPr="004E63FC">
              <w:rPr>
                <w:rFonts w:ascii="Calibri" w:hAnsi="Calibri" w:cs="Calibri"/>
                <w:color w:val="000000"/>
              </w:rPr>
              <w:t>5.5%</w:t>
            </w:r>
          </w:p>
        </w:tc>
        <w:tc>
          <w:tcPr>
            <w:tcW w:w="547" w:type="pct"/>
            <w:noWrap/>
            <w:vAlign w:val="bottom"/>
            <w:hideMark/>
          </w:tcPr>
          <w:p w14:paraId="2451D67A" w14:textId="48AD7EA2" w:rsidR="004E63FC" w:rsidRPr="004E63FC" w:rsidRDefault="004E63FC" w:rsidP="004E63FC">
            <w:pPr>
              <w:jc w:val="center"/>
              <w:rPr>
                <w:rFonts w:ascii="Calibri" w:eastAsia="Times New Roman" w:hAnsi="Calibri" w:cs="Calibri"/>
                <w:color w:val="000000"/>
                <w:lang w:eastAsia="en-GB"/>
              </w:rPr>
            </w:pPr>
            <w:r w:rsidRPr="004E63FC">
              <w:rPr>
                <w:rFonts w:ascii="Calibri" w:hAnsi="Calibri" w:cs="Calibri"/>
                <w:color w:val="000000"/>
              </w:rPr>
              <w:t>8</w:t>
            </w:r>
          </w:p>
        </w:tc>
        <w:tc>
          <w:tcPr>
            <w:tcW w:w="469" w:type="pct"/>
            <w:vAlign w:val="bottom"/>
          </w:tcPr>
          <w:p w14:paraId="4DAB0C35" w14:textId="42DFEDA9" w:rsidR="004E63FC" w:rsidRPr="004E63FC" w:rsidRDefault="004E63FC" w:rsidP="004E63FC">
            <w:pPr>
              <w:jc w:val="center"/>
              <w:rPr>
                <w:rFonts w:ascii="Calibri" w:eastAsia="Times New Roman" w:hAnsi="Calibri" w:cs="Calibri"/>
                <w:color w:val="000000"/>
                <w:lang w:eastAsia="en-GB"/>
              </w:rPr>
            </w:pPr>
            <w:r w:rsidRPr="004E63FC">
              <w:rPr>
                <w:rFonts w:ascii="Calibri" w:hAnsi="Calibri" w:cs="Calibri"/>
                <w:color w:val="000000"/>
              </w:rPr>
              <w:t>1.7%</w:t>
            </w:r>
          </w:p>
        </w:tc>
        <w:tc>
          <w:tcPr>
            <w:tcW w:w="546" w:type="pct"/>
            <w:vAlign w:val="bottom"/>
          </w:tcPr>
          <w:p w14:paraId="442444F4" w14:textId="23AD39F3" w:rsidR="004E63FC" w:rsidRPr="004E63FC" w:rsidRDefault="004E63FC" w:rsidP="004E63FC">
            <w:pPr>
              <w:jc w:val="center"/>
              <w:rPr>
                <w:rFonts w:ascii="Calibri" w:eastAsia="Times New Roman" w:hAnsi="Calibri" w:cs="Calibri"/>
                <w:color w:val="000000"/>
                <w:lang w:eastAsia="en-GB"/>
              </w:rPr>
            </w:pPr>
            <w:r w:rsidRPr="004E63FC">
              <w:rPr>
                <w:rFonts w:ascii="Calibri" w:hAnsi="Calibri" w:cs="Calibri"/>
                <w:color w:val="000000"/>
              </w:rPr>
              <w:t>…</w:t>
            </w:r>
          </w:p>
        </w:tc>
        <w:tc>
          <w:tcPr>
            <w:tcW w:w="547" w:type="pct"/>
            <w:vAlign w:val="bottom"/>
          </w:tcPr>
          <w:p w14:paraId="724549EE" w14:textId="4794D2AE" w:rsidR="004E63FC" w:rsidRPr="004E63FC" w:rsidRDefault="004E63FC" w:rsidP="004E63FC">
            <w:pPr>
              <w:jc w:val="center"/>
              <w:rPr>
                <w:rFonts w:ascii="Calibri" w:eastAsia="Times New Roman" w:hAnsi="Calibri" w:cs="Calibri"/>
                <w:color w:val="000000"/>
                <w:lang w:eastAsia="en-GB"/>
              </w:rPr>
            </w:pPr>
            <w:r w:rsidRPr="004E63FC">
              <w:rPr>
                <w:rFonts w:ascii="Calibri" w:hAnsi="Calibri" w:cs="Calibri"/>
                <w:color w:val="000000"/>
              </w:rPr>
              <w:t>…</w:t>
            </w:r>
          </w:p>
        </w:tc>
      </w:tr>
      <w:tr w:rsidR="004E63FC" w:rsidRPr="004D4E6B" w14:paraId="5D1E4740" w14:textId="673225B2" w:rsidTr="00F44A1E">
        <w:trPr>
          <w:trHeight w:val="289"/>
        </w:trPr>
        <w:tc>
          <w:tcPr>
            <w:tcW w:w="547" w:type="pct"/>
            <w:noWrap/>
            <w:hideMark/>
          </w:tcPr>
          <w:p w14:paraId="2D4E7AD6" w14:textId="77777777" w:rsidR="004E63FC" w:rsidRPr="004E63FC" w:rsidRDefault="004E63FC" w:rsidP="004E63FC">
            <w:pPr>
              <w:rPr>
                <w:rFonts w:ascii="Calibri" w:eastAsia="Times New Roman" w:hAnsi="Calibri" w:cs="Calibri"/>
                <w:color w:val="000000"/>
                <w:lang w:eastAsia="en-GB"/>
              </w:rPr>
            </w:pPr>
            <w:r w:rsidRPr="004E63FC">
              <w:rPr>
                <w:rFonts w:ascii="Calibri" w:eastAsia="Times New Roman" w:hAnsi="Calibri" w:cs="Calibri"/>
                <w:color w:val="000000"/>
                <w:lang w:eastAsia="en-GB"/>
              </w:rPr>
              <w:t>Grade D</w:t>
            </w:r>
          </w:p>
        </w:tc>
        <w:tc>
          <w:tcPr>
            <w:tcW w:w="704" w:type="pct"/>
            <w:noWrap/>
            <w:vAlign w:val="bottom"/>
            <w:hideMark/>
          </w:tcPr>
          <w:p w14:paraId="36CB2BC0" w14:textId="02D81E90" w:rsidR="004E63FC" w:rsidRPr="004E63FC" w:rsidRDefault="004E63FC" w:rsidP="004E63FC">
            <w:pPr>
              <w:jc w:val="center"/>
              <w:rPr>
                <w:rFonts w:ascii="Calibri" w:eastAsia="Times New Roman" w:hAnsi="Calibri" w:cs="Calibri"/>
                <w:color w:val="000000"/>
                <w:lang w:eastAsia="en-GB"/>
              </w:rPr>
            </w:pPr>
            <w:r w:rsidRPr="004E63FC">
              <w:rPr>
                <w:rFonts w:ascii="Calibri" w:hAnsi="Calibri" w:cs="Calibri"/>
                <w:color w:val="000000"/>
              </w:rPr>
              <w:t>590</w:t>
            </w:r>
          </w:p>
        </w:tc>
        <w:tc>
          <w:tcPr>
            <w:tcW w:w="469" w:type="pct"/>
            <w:vAlign w:val="bottom"/>
          </w:tcPr>
          <w:p w14:paraId="43A3874C" w14:textId="38193941" w:rsidR="004E63FC" w:rsidRPr="004E63FC" w:rsidRDefault="004E63FC" w:rsidP="004E63FC">
            <w:pPr>
              <w:jc w:val="center"/>
              <w:rPr>
                <w:rFonts w:ascii="Calibri" w:eastAsia="Times New Roman" w:hAnsi="Calibri" w:cs="Calibri"/>
                <w:color w:val="000000"/>
                <w:lang w:eastAsia="en-GB"/>
              </w:rPr>
            </w:pPr>
            <w:r w:rsidRPr="004E63FC">
              <w:rPr>
                <w:rFonts w:ascii="Calibri" w:hAnsi="Calibri" w:cs="Calibri"/>
                <w:color w:val="000000"/>
              </w:rPr>
              <w:t>91.2%</w:t>
            </w:r>
          </w:p>
        </w:tc>
        <w:tc>
          <w:tcPr>
            <w:tcW w:w="703" w:type="pct"/>
            <w:noWrap/>
            <w:vAlign w:val="bottom"/>
            <w:hideMark/>
          </w:tcPr>
          <w:p w14:paraId="2B5A2D95" w14:textId="7C3302BF" w:rsidR="004E63FC" w:rsidRPr="004E63FC" w:rsidRDefault="004E63FC" w:rsidP="004E63FC">
            <w:pPr>
              <w:jc w:val="center"/>
              <w:rPr>
                <w:rFonts w:ascii="Calibri" w:eastAsia="Times New Roman" w:hAnsi="Calibri" w:cs="Calibri"/>
                <w:color w:val="000000"/>
                <w:lang w:eastAsia="en-GB"/>
              </w:rPr>
            </w:pPr>
            <w:r w:rsidRPr="004E63FC">
              <w:rPr>
                <w:rFonts w:ascii="Calibri" w:hAnsi="Calibri" w:cs="Calibri"/>
                <w:color w:val="000000"/>
              </w:rPr>
              <w:t>34</w:t>
            </w:r>
          </w:p>
        </w:tc>
        <w:tc>
          <w:tcPr>
            <w:tcW w:w="468" w:type="pct"/>
            <w:vAlign w:val="bottom"/>
          </w:tcPr>
          <w:p w14:paraId="4A7B4728" w14:textId="4BFD57DE" w:rsidR="004E63FC" w:rsidRPr="004E63FC" w:rsidRDefault="004E63FC" w:rsidP="004E63FC">
            <w:pPr>
              <w:jc w:val="center"/>
              <w:rPr>
                <w:rFonts w:ascii="Calibri" w:eastAsia="Times New Roman" w:hAnsi="Calibri" w:cs="Calibri"/>
                <w:color w:val="000000"/>
                <w:lang w:eastAsia="en-GB"/>
              </w:rPr>
            </w:pPr>
            <w:r w:rsidRPr="004E63FC">
              <w:rPr>
                <w:rFonts w:ascii="Calibri" w:hAnsi="Calibri" w:cs="Calibri"/>
                <w:color w:val="000000"/>
              </w:rPr>
              <w:t>5.3%</w:t>
            </w:r>
          </w:p>
        </w:tc>
        <w:tc>
          <w:tcPr>
            <w:tcW w:w="547" w:type="pct"/>
            <w:noWrap/>
            <w:vAlign w:val="bottom"/>
            <w:hideMark/>
          </w:tcPr>
          <w:p w14:paraId="3D9375E2" w14:textId="7DFF1984" w:rsidR="004E63FC" w:rsidRPr="004E63FC" w:rsidRDefault="004E63FC" w:rsidP="004E63FC">
            <w:pPr>
              <w:jc w:val="center"/>
              <w:rPr>
                <w:rFonts w:ascii="Calibri" w:eastAsia="Times New Roman" w:hAnsi="Calibri" w:cs="Calibri"/>
                <w:color w:val="000000"/>
                <w:lang w:eastAsia="en-GB"/>
              </w:rPr>
            </w:pPr>
            <w:r w:rsidRPr="004E63FC">
              <w:rPr>
                <w:rFonts w:ascii="Calibri" w:hAnsi="Calibri" w:cs="Calibri"/>
                <w:color w:val="000000"/>
              </w:rPr>
              <w:t>15</w:t>
            </w:r>
          </w:p>
        </w:tc>
        <w:tc>
          <w:tcPr>
            <w:tcW w:w="469" w:type="pct"/>
            <w:vAlign w:val="bottom"/>
          </w:tcPr>
          <w:p w14:paraId="41301B23" w14:textId="3E82D12B" w:rsidR="004E63FC" w:rsidRPr="004E63FC" w:rsidRDefault="004E63FC" w:rsidP="004E63FC">
            <w:pPr>
              <w:jc w:val="center"/>
              <w:rPr>
                <w:rFonts w:ascii="Calibri" w:eastAsia="Times New Roman" w:hAnsi="Calibri" w:cs="Calibri"/>
                <w:color w:val="000000"/>
                <w:lang w:eastAsia="en-GB"/>
              </w:rPr>
            </w:pPr>
            <w:r w:rsidRPr="004E63FC">
              <w:rPr>
                <w:rFonts w:ascii="Calibri" w:hAnsi="Calibri" w:cs="Calibri"/>
                <w:color w:val="000000"/>
              </w:rPr>
              <w:t>2.3%</w:t>
            </w:r>
          </w:p>
        </w:tc>
        <w:tc>
          <w:tcPr>
            <w:tcW w:w="546" w:type="pct"/>
            <w:vAlign w:val="bottom"/>
          </w:tcPr>
          <w:p w14:paraId="54230A5D" w14:textId="3B9F2DF9" w:rsidR="004E63FC" w:rsidRPr="004E63FC" w:rsidRDefault="004E63FC" w:rsidP="004E63FC">
            <w:pPr>
              <w:jc w:val="center"/>
              <w:rPr>
                <w:rFonts w:ascii="Calibri" w:eastAsia="Times New Roman" w:hAnsi="Calibri" w:cs="Calibri"/>
                <w:color w:val="000000"/>
                <w:lang w:eastAsia="en-GB"/>
              </w:rPr>
            </w:pPr>
            <w:r w:rsidRPr="004E63FC">
              <w:rPr>
                <w:rFonts w:ascii="Calibri" w:hAnsi="Calibri" w:cs="Calibri"/>
                <w:color w:val="000000"/>
              </w:rPr>
              <w:t>8</w:t>
            </w:r>
          </w:p>
        </w:tc>
        <w:tc>
          <w:tcPr>
            <w:tcW w:w="547" w:type="pct"/>
            <w:vAlign w:val="bottom"/>
          </w:tcPr>
          <w:p w14:paraId="09DD0FC9" w14:textId="64B36AA5" w:rsidR="004E63FC" w:rsidRPr="004E63FC" w:rsidRDefault="004E63FC" w:rsidP="004E63FC">
            <w:pPr>
              <w:jc w:val="center"/>
              <w:rPr>
                <w:rFonts w:ascii="Calibri" w:eastAsia="Times New Roman" w:hAnsi="Calibri" w:cs="Calibri"/>
                <w:color w:val="000000"/>
                <w:lang w:eastAsia="en-GB"/>
              </w:rPr>
            </w:pPr>
            <w:r w:rsidRPr="004E63FC">
              <w:rPr>
                <w:rFonts w:ascii="Calibri" w:hAnsi="Calibri" w:cs="Calibri"/>
                <w:color w:val="000000"/>
              </w:rPr>
              <w:t>1.2%</w:t>
            </w:r>
          </w:p>
        </w:tc>
      </w:tr>
      <w:tr w:rsidR="004E63FC" w:rsidRPr="004D4E6B" w14:paraId="2D419366" w14:textId="00B337A3" w:rsidTr="00F44A1E">
        <w:trPr>
          <w:trHeight w:val="265"/>
        </w:trPr>
        <w:tc>
          <w:tcPr>
            <w:tcW w:w="547" w:type="pct"/>
            <w:noWrap/>
            <w:hideMark/>
          </w:tcPr>
          <w:p w14:paraId="6DA04E85" w14:textId="77777777" w:rsidR="004E63FC" w:rsidRPr="004E63FC" w:rsidRDefault="004E63FC" w:rsidP="004E63FC">
            <w:pPr>
              <w:rPr>
                <w:rFonts w:ascii="Calibri" w:eastAsia="Times New Roman" w:hAnsi="Calibri" w:cs="Calibri"/>
                <w:color w:val="000000"/>
                <w:lang w:eastAsia="en-GB"/>
              </w:rPr>
            </w:pPr>
            <w:r w:rsidRPr="004E63FC">
              <w:rPr>
                <w:rFonts w:ascii="Calibri" w:eastAsia="Times New Roman" w:hAnsi="Calibri" w:cs="Calibri"/>
                <w:color w:val="000000"/>
                <w:lang w:eastAsia="en-GB"/>
              </w:rPr>
              <w:t>Grade E</w:t>
            </w:r>
          </w:p>
        </w:tc>
        <w:tc>
          <w:tcPr>
            <w:tcW w:w="704" w:type="pct"/>
            <w:noWrap/>
            <w:vAlign w:val="bottom"/>
            <w:hideMark/>
          </w:tcPr>
          <w:p w14:paraId="39F13037" w14:textId="6D39DBF2" w:rsidR="004E63FC" w:rsidRPr="004E63FC" w:rsidRDefault="004E63FC" w:rsidP="004E63FC">
            <w:pPr>
              <w:jc w:val="center"/>
              <w:rPr>
                <w:rFonts w:ascii="Calibri" w:eastAsia="Times New Roman" w:hAnsi="Calibri" w:cs="Calibri"/>
                <w:color w:val="000000"/>
                <w:lang w:eastAsia="en-GB"/>
              </w:rPr>
            </w:pPr>
            <w:r w:rsidRPr="004E63FC">
              <w:rPr>
                <w:rFonts w:ascii="Calibri" w:hAnsi="Calibri" w:cs="Calibri"/>
                <w:color w:val="000000"/>
              </w:rPr>
              <w:t>566</w:t>
            </w:r>
          </w:p>
        </w:tc>
        <w:tc>
          <w:tcPr>
            <w:tcW w:w="469" w:type="pct"/>
            <w:vAlign w:val="bottom"/>
          </w:tcPr>
          <w:p w14:paraId="18F66D61" w14:textId="5FB7BEE2" w:rsidR="004E63FC" w:rsidRPr="004E63FC" w:rsidRDefault="004E63FC" w:rsidP="004E63FC">
            <w:pPr>
              <w:jc w:val="center"/>
              <w:rPr>
                <w:rFonts w:ascii="Calibri" w:eastAsia="Times New Roman" w:hAnsi="Calibri" w:cs="Calibri"/>
                <w:color w:val="000000"/>
                <w:lang w:eastAsia="en-GB"/>
              </w:rPr>
            </w:pPr>
            <w:r w:rsidRPr="004E63FC">
              <w:rPr>
                <w:rFonts w:ascii="Calibri" w:hAnsi="Calibri" w:cs="Calibri"/>
                <w:color w:val="000000"/>
              </w:rPr>
              <w:t>90.4%</w:t>
            </w:r>
          </w:p>
        </w:tc>
        <w:tc>
          <w:tcPr>
            <w:tcW w:w="703" w:type="pct"/>
            <w:noWrap/>
            <w:vAlign w:val="bottom"/>
            <w:hideMark/>
          </w:tcPr>
          <w:p w14:paraId="74D37708" w14:textId="7F27A6D1" w:rsidR="004E63FC" w:rsidRPr="004E63FC" w:rsidRDefault="004E63FC" w:rsidP="004E63FC">
            <w:pPr>
              <w:jc w:val="center"/>
              <w:rPr>
                <w:rFonts w:ascii="Calibri" w:eastAsia="Times New Roman" w:hAnsi="Calibri" w:cs="Calibri"/>
                <w:color w:val="000000"/>
                <w:lang w:eastAsia="en-GB"/>
              </w:rPr>
            </w:pPr>
            <w:r w:rsidRPr="004E63FC">
              <w:rPr>
                <w:rFonts w:ascii="Calibri" w:hAnsi="Calibri" w:cs="Calibri"/>
                <w:color w:val="000000"/>
              </w:rPr>
              <w:t>43</w:t>
            </w:r>
          </w:p>
        </w:tc>
        <w:tc>
          <w:tcPr>
            <w:tcW w:w="468" w:type="pct"/>
            <w:vAlign w:val="bottom"/>
          </w:tcPr>
          <w:p w14:paraId="373BA286" w14:textId="2F379E55" w:rsidR="004E63FC" w:rsidRPr="004E63FC" w:rsidRDefault="004E63FC" w:rsidP="004E63FC">
            <w:pPr>
              <w:jc w:val="center"/>
              <w:rPr>
                <w:rFonts w:ascii="Calibri" w:eastAsia="Times New Roman" w:hAnsi="Calibri" w:cs="Calibri"/>
                <w:color w:val="000000"/>
                <w:lang w:eastAsia="en-GB"/>
              </w:rPr>
            </w:pPr>
            <w:r w:rsidRPr="004E63FC">
              <w:rPr>
                <w:rFonts w:ascii="Calibri" w:hAnsi="Calibri" w:cs="Calibri"/>
                <w:color w:val="000000"/>
              </w:rPr>
              <w:t>6.9%</w:t>
            </w:r>
          </w:p>
        </w:tc>
        <w:tc>
          <w:tcPr>
            <w:tcW w:w="547" w:type="pct"/>
            <w:noWrap/>
            <w:vAlign w:val="bottom"/>
            <w:hideMark/>
          </w:tcPr>
          <w:p w14:paraId="6F8A71ED" w14:textId="27EBA985" w:rsidR="004E63FC" w:rsidRPr="004E63FC" w:rsidRDefault="004E63FC" w:rsidP="004E63FC">
            <w:pPr>
              <w:jc w:val="center"/>
              <w:rPr>
                <w:rFonts w:ascii="Calibri" w:eastAsia="Times New Roman" w:hAnsi="Calibri" w:cs="Calibri"/>
                <w:color w:val="000000"/>
                <w:lang w:eastAsia="en-GB"/>
              </w:rPr>
            </w:pPr>
            <w:r w:rsidRPr="004E63FC">
              <w:rPr>
                <w:rFonts w:ascii="Calibri" w:hAnsi="Calibri" w:cs="Calibri"/>
                <w:color w:val="000000"/>
              </w:rPr>
              <w:t>16</w:t>
            </w:r>
          </w:p>
        </w:tc>
        <w:tc>
          <w:tcPr>
            <w:tcW w:w="469" w:type="pct"/>
            <w:vAlign w:val="bottom"/>
          </w:tcPr>
          <w:p w14:paraId="7904583A" w14:textId="16D31961" w:rsidR="004E63FC" w:rsidRPr="004E63FC" w:rsidRDefault="004E63FC" w:rsidP="004E63FC">
            <w:pPr>
              <w:jc w:val="center"/>
              <w:rPr>
                <w:rFonts w:ascii="Calibri" w:eastAsia="Times New Roman" w:hAnsi="Calibri" w:cs="Calibri"/>
                <w:color w:val="000000"/>
                <w:lang w:eastAsia="en-GB"/>
              </w:rPr>
            </w:pPr>
            <w:r w:rsidRPr="004E63FC">
              <w:rPr>
                <w:rFonts w:ascii="Calibri" w:hAnsi="Calibri" w:cs="Calibri"/>
                <w:color w:val="000000"/>
              </w:rPr>
              <w:t>2.6%</w:t>
            </w:r>
          </w:p>
        </w:tc>
        <w:tc>
          <w:tcPr>
            <w:tcW w:w="546" w:type="pct"/>
            <w:vAlign w:val="bottom"/>
          </w:tcPr>
          <w:p w14:paraId="536F35B7" w14:textId="3B814B59" w:rsidR="004E63FC" w:rsidRPr="004E63FC" w:rsidRDefault="004E63FC" w:rsidP="004E63FC">
            <w:pPr>
              <w:jc w:val="center"/>
              <w:rPr>
                <w:rFonts w:ascii="Calibri" w:eastAsia="Times New Roman" w:hAnsi="Calibri" w:cs="Calibri"/>
                <w:color w:val="000000"/>
                <w:lang w:eastAsia="en-GB"/>
              </w:rPr>
            </w:pPr>
            <w:r w:rsidRPr="004E63FC">
              <w:rPr>
                <w:rFonts w:ascii="Calibri" w:hAnsi="Calibri" w:cs="Calibri"/>
                <w:color w:val="000000"/>
              </w:rPr>
              <w:t>…</w:t>
            </w:r>
          </w:p>
        </w:tc>
        <w:tc>
          <w:tcPr>
            <w:tcW w:w="547" w:type="pct"/>
            <w:vAlign w:val="bottom"/>
          </w:tcPr>
          <w:p w14:paraId="766A22BB" w14:textId="6A345625" w:rsidR="004E63FC" w:rsidRPr="004E63FC" w:rsidRDefault="004E63FC" w:rsidP="004E63FC">
            <w:pPr>
              <w:jc w:val="center"/>
              <w:rPr>
                <w:rFonts w:ascii="Calibri" w:eastAsia="Times New Roman" w:hAnsi="Calibri" w:cs="Calibri"/>
                <w:color w:val="000000"/>
                <w:lang w:eastAsia="en-GB"/>
              </w:rPr>
            </w:pPr>
            <w:r w:rsidRPr="004E63FC">
              <w:rPr>
                <w:rFonts w:ascii="Calibri" w:hAnsi="Calibri" w:cs="Calibri"/>
                <w:color w:val="000000"/>
              </w:rPr>
              <w:t>…</w:t>
            </w:r>
          </w:p>
        </w:tc>
      </w:tr>
      <w:tr w:rsidR="004E63FC" w:rsidRPr="004D4E6B" w14:paraId="2AEA2E0A" w14:textId="60C35AD1" w:rsidTr="00F44A1E">
        <w:trPr>
          <w:trHeight w:val="269"/>
        </w:trPr>
        <w:tc>
          <w:tcPr>
            <w:tcW w:w="547" w:type="pct"/>
            <w:noWrap/>
            <w:hideMark/>
          </w:tcPr>
          <w:p w14:paraId="47C08519" w14:textId="77777777" w:rsidR="004E63FC" w:rsidRPr="004E63FC" w:rsidRDefault="004E63FC" w:rsidP="004E63FC">
            <w:pPr>
              <w:rPr>
                <w:rFonts w:ascii="Calibri" w:eastAsia="Times New Roman" w:hAnsi="Calibri" w:cs="Calibri"/>
                <w:color w:val="000000"/>
                <w:lang w:eastAsia="en-GB"/>
              </w:rPr>
            </w:pPr>
            <w:r w:rsidRPr="004E63FC">
              <w:rPr>
                <w:rFonts w:ascii="Calibri" w:eastAsia="Times New Roman" w:hAnsi="Calibri" w:cs="Calibri"/>
                <w:color w:val="000000"/>
                <w:lang w:eastAsia="en-GB"/>
              </w:rPr>
              <w:t>Grade F</w:t>
            </w:r>
          </w:p>
        </w:tc>
        <w:tc>
          <w:tcPr>
            <w:tcW w:w="704" w:type="pct"/>
            <w:noWrap/>
            <w:vAlign w:val="bottom"/>
            <w:hideMark/>
          </w:tcPr>
          <w:p w14:paraId="3FBEF024" w14:textId="40C19647" w:rsidR="004E63FC" w:rsidRPr="004E63FC" w:rsidRDefault="004E63FC" w:rsidP="004E63FC">
            <w:pPr>
              <w:jc w:val="center"/>
              <w:rPr>
                <w:rFonts w:ascii="Calibri" w:eastAsia="Times New Roman" w:hAnsi="Calibri" w:cs="Calibri"/>
                <w:color w:val="000000"/>
                <w:lang w:eastAsia="en-GB"/>
              </w:rPr>
            </w:pPr>
            <w:r w:rsidRPr="004E63FC">
              <w:rPr>
                <w:rFonts w:ascii="Calibri" w:hAnsi="Calibri" w:cs="Calibri"/>
                <w:color w:val="000000"/>
              </w:rPr>
              <w:t>727</w:t>
            </w:r>
          </w:p>
        </w:tc>
        <w:tc>
          <w:tcPr>
            <w:tcW w:w="469" w:type="pct"/>
            <w:vAlign w:val="bottom"/>
          </w:tcPr>
          <w:p w14:paraId="59206834" w14:textId="5DAF0944" w:rsidR="004E63FC" w:rsidRPr="004E63FC" w:rsidRDefault="004E63FC" w:rsidP="004E63FC">
            <w:pPr>
              <w:jc w:val="center"/>
              <w:rPr>
                <w:rFonts w:ascii="Calibri" w:eastAsia="Times New Roman" w:hAnsi="Calibri" w:cs="Calibri"/>
                <w:color w:val="000000"/>
                <w:lang w:eastAsia="en-GB"/>
              </w:rPr>
            </w:pPr>
            <w:r w:rsidRPr="004E63FC">
              <w:rPr>
                <w:rFonts w:ascii="Calibri" w:hAnsi="Calibri" w:cs="Calibri"/>
                <w:color w:val="000000"/>
              </w:rPr>
              <w:t>90.9%</w:t>
            </w:r>
          </w:p>
        </w:tc>
        <w:tc>
          <w:tcPr>
            <w:tcW w:w="703" w:type="pct"/>
            <w:noWrap/>
            <w:vAlign w:val="bottom"/>
            <w:hideMark/>
          </w:tcPr>
          <w:p w14:paraId="1B0F69AD" w14:textId="61EC012B" w:rsidR="004E63FC" w:rsidRPr="004E63FC" w:rsidRDefault="004E63FC" w:rsidP="004E63FC">
            <w:pPr>
              <w:jc w:val="center"/>
              <w:rPr>
                <w:rFonts w:ascii="Calibri" w:eastAsia="Times New Roman" w:hAnsi="Calibri" w:cs="Calibri"/>
                <w:color w:val="000000"/>
                <w:lang w:eastAsia="en-GB"/>
              </w:rPr>
            </w:pPr>
            <w:r w:rsidRPr="004E63FC">
              <w:rPr>
                <w:rFonts w:ascii="Calibri" w:hAnsi="Calibri" w:cs="Calibri"/>
                <w:color w:val="000000"/>
              </w:rPr>
              <w:t>47</w:t>
            </w:r>
          </w:p>
        </w:tc>
        <w:tc>
          <w:tcPr>
            <w:tcW w:w="468" w:type="pct"/>
            <w:vAlign w:val="bottom"/>
          </w:tcPr>
          <w:p w14:paraId="1D025A8A" w14:textId="35F5BAAB" w:rsidR="004E63FC" w:rsidRPr="004E63FC" w:rsidRDefault="004E63FC" w:rsidP="004E63FC">
            <w:pPr>
              <w:jc w:val="center"/>
              <w:rPr>
                <w:rFonts w:ascii="Calibri" w:eastAsia="Times New Roman" w:hAnsi="Calibri" w:cs="Calibri"/>
                <w:color w:val="000000"/>
                <w:lang w:eastAsia="en-GB"/>
              </w:rPr>
            </w:pPr>
            <w:r w:rsidRPr="004E63FC">
              <w:rPr>
                <w:rFonts w:ascii="Calibri" w:hAnsi="Calibri" w:cs="Calibri"/>
                <w:color w:val="000000"/>
              </w:rPr>
              <w:t>5.9%</w:t>
            </w:r>
          </w:p>
        </w:tc>
        <w:tc>
          <w:tcPr>
            <w:tcW w:w="547" w:type="pct"/>
            <w:noWrap/>
            <w:vAlign w:val="bottom"/>
            <w:hideMark/>
          </w:tcPr>
          <w:p w14:paraId="3955C819" w14:textId="5D092AF0" w:rsidR="004E63FC" w:rsidRPr="004E63FC" w:rsidRDefault="004E63FC" w:rsidP="004E63FC">
            <w:pPr>
              <w:jc w:val="center"/>
              <w:rPr>
                <w:rFonts w:ascii="Calibri" w:eastAsia="Times New Roman" w:hAnsi="Calibri" w:cs="Calibri"/>
                <w:color w:val="000000"/>
                <w:lang w:eastAsia="en-GB"/>
              </w:rPr>
            </w:pPr>
            <w:r w:rsidRPr="004E63FC">
              <w:rPr>
                <w:rFonts w:ascii="Calibri" w:hAnsi="Calibri" w:cs="Calibri"/>
                <w:color w:val="000000"/>
              </w:rPr>
              <w:t>22</w:t>
            </w:r>
          </w:p>
        </w:tc>
        <w:tc>
          <w:tcPr>
            <w:tcW w:w="469" w:type="pct"/>
            <w:vAlign w:val="bottom"/>
          </w:tcPr>
          <w:p w14:paraId="0B9FB42E" w14:textId="43C123D0" w:rsidR="004E63FC" w:rsidRPr="004E63FC" w:rsidRDefault="004E63FC" w:rsidP="004E63FC">
            <w:pPr>
              <w:jc w:val="center"/>
              <w:rPr>
                <w:rFonts w:ascii="Calibri" w:eastAsia="Times New Roman" w:hAnsi="Calibri" w:cs="Calibri"/>
                <w:color w:val="000000"/>
                <w:lang w:eastAsia="en-GB"/>
              </w:rPr>
            </w:pPr>
            <w:r w:rsidRPr="004E63FC">
              <w:rPr>
                <w:rFonts w:ascii="Calibri" w:hAnsi="Calibri" w:cs="Calibri"/>
                <w:color w:val="000000"/>
              </w:rPr>
              <w:t>2.8%</w:t>
            </w:r>
          </w:p>
        </w:tc>
        <w:tc>
          <w:tcPr>
            <w:tcW w:w="546" w:type="pct"/>
            <w:vAlign w:val="bottom"/>
          </w:tcPr>
          <w:p w14:paraId="1D5066C7" w14:textId="6387A83E" w:rsidR="004E63FC" w:rsidRPr="004E63FC" w:rsidRDefault="004E63FC" w:rsidP="004E63FC">
            <w:pPr>
              <w:jc w:val="center"/>
              <w:rPr>
                <w:rFonts w:ascii="Calibri" w:eastAsia="Times New Roman" w:hAnsi="Calibri" w:cs="Calibri"/>
                <w:color w:val="000000"/>
                <w:lang w:eastAsia="en-GB"/>
              </w:rPr>
            </w:pPr>
            <w:r w:rsidRPr="004E63FC">
              <w:rPr>
                <w:rFonts w:ascii="Calibri" w:hAnsi="Calibri" w:cs="Calibri"/>
                <w:color w:val="000000"/>
              </w:rPr>
              <w:t>…</w:t>
            </w:r>
          </w:p>
        </w:tc>
        <w:tc>
          <w:tcPr>
            <w:tcW w:w="547" w:type="pct"/>
            <w:vAlign w:val="bottom"/>
          </w:tcPr>
          <w:p w14:paraId="417FE51C" w14:textId="664E4FE0" w:rsidR="004E63FC" w:rsidRPr="004E63FC" w:rsidRDefault="004E63FC" w:rsidP="004E63FC">
            <w:pPr>
              <w:jc w:val="center"/>
              <w:rPr>
                <w:rFonts w:ascii="Calibri" w:eastAsia="Times New Roman" w:hAnsi="Calibri" w:cs="Calibri"/>
                <w:color w:val="000000"/>
                <w:lang w:eastAsia="en-GB"/>
              </w:rPr>
            </w:pPr>
            <w:r w:rsidRPr="004E63FC">
              <w:rPr>
                <w:rFonts w:ascii="Calibri" w:hAnsi="Calibri" w:cs="Calibri"/>
                <w:color w:val="000000"/>
              </w:rPr>
              <w:t>…</w:t>
            </w:r>
          </w:p>
        </w:tc>
      </w:tr>
      <w:tr w:rsidR="004E63FC" w:rsidRPr="004D4E6B" w14:paraId="55EECCD4" w14:textId="62852D33" w:rsidTr="00F44A1E">
        <w:trPr>
          <w:trHeight w:val="273"/>
        </w:trPr>
        <w:tc>
          <w:tcPr>
            <w:tcW w:w="547" w:type="pct"/>
            <w:noWrap/>
            <w:hideMark/>
          </w:tcPr>
          <w:p w14:paraId="74F50FFE" w14:textId="77777777" w:rsidR="004E63FC" w:rsidRPr="004E63FC" w:rsidRDefault="004E63FC" w:rsidP="004E63FC">
            <w:pPr>
              <w:rPr>
                <w:rFonts w:ascii="Calibri" w:eastAsia="Times New Roman" w:hAnsi="Calibri" w:cs="Calibri"/>
                <w:color w:val="000000"/>
                <w:lang w:eastAsia="en-GB"/>
              </w:rPr>
            </w:pPr>
            <w:r w:rsidRPr="004E63FC">
              <w:rPr>
                <w:rFonts w:ascii="Calibri" w:eastAsia="Times New Roman" w:hAnsi="Calibri" w:cs="Calibri"/>
                <w:color w:val="000000"/>
                <w:lang w:eastAsia="en-GB"/>
              </w:rPr>
              <w:t>Grade G</w:t>
            </w:r>
          </w:p>
        </w:tc>
        <w:tc>
          <w:tcPr>
            <w:tcW w:w="704" w:type="pct"/>
            <w:noWrap/>
            <w:vAlign w:val="bottom"/>
            <w:hideMark/>
          </w:tcPr>
          <w:p w14:paraId="787385B8" w14:textId="3BF572F4" w:rsidR="004E63FC" w:rsidRPr="004E63FC" w:rsidRDefault="004E63FC" w:rsidP="004E63FC">
            <w:pPr>
              <w:jc w:val="center"/>
              <w:rPr>
                <w:rFonts w:ascii="Calibri" w:eastAsia="Times New Roman" w:hAnsi="Calibri" w:cs="Calibri"/>
                <w:color w:val="000000"/>
                <w:lang w:eastAsia="en-GB"/>
              </w:rPr>
            </w:pPr>
            <w:r w:rsidRPr="004E63FC">
              <w:rPr>
                <w:rFonts w:ascii="Calibri" w:hAnsi="Calibri" w:cs="Calibri"/>
                <w:color w:val="000000"/>
              </w:rPr>
              <w:t>328</w:t>
            </w:r>
          </w:p>
        </w:tc>
        <w:tc>
          <w:tcPr>
            <w:tcW w:w="469" w:type="pct"/>
            <w:vAlign w:val="bottom"/>
          </w:tcPr>
          <w:p w14:paraId="042571FC" w14:textId="5247D72D" w:rsidR="004E63FC" w:rsidRPr="004E63FC" w:rsidRDefault="004E63FC" w:rsidP="004E63FC">
            <w:pPr>
              <w:jc w:val="center"/>
              <w:rPr>
                <w:rFonts w:ascii="Calibri" w:eastAsia="Times New Roman" w:hAnsi="Calibri" w:cs="Calibri"/>
                <w:color w:val="000000"/>
                <w:lang w:eastAsia="en-GB"/>
              </w:rPr>
            </w:pPr>
            <w:r w:rsidRPr="004E63FC">
              <w:rPr>
                <w:rFonts w:ascii="Calibri" w:hAnsi="Calibri" w:cs="Calibri"/>
                <w:color w:val="000000"/>
              </w:rPr>
              <w:t>90.6%</w:t>
            </w:r>
          </w:p>
        </w:tc>
        <w:tc>
          <w:tcPr>
            <w:tcW w:w="703" w:type="pct"/>
            <w:noWrap/>
            <w:vAlign w:val="bottom"/>
            <w:hideMark/>
          </w:tcPr>
          <w:p w14:paraId="02DDED31" w14:textId="68C51482" w:rsidR="004E63FC" w:rsidRPr="004E63FC" w:rsidRDefault="004E63FC" w:rsidP="004E63FC">
            <w:pPr>
              <w:jc w:val="center"/>
              <w:rPr>
                <w:rFonts w:ascii="Calibri" w:eastAsia="Times New Roman" w:hAnsi="Calibri" w:cs="Calibri"/>
                <w:color w:val="000000"/>
                <w:lang w:eastAsia="en-GB"/>
              </w:rPr>
            </w:pPr>
            <w:r w:rsidRPr="004E63FC">
              <w:rPr>
                <w:rFonts w:ascii="Calibri" w:hAnsi="Calibri" w:cs="Calibri"/>
                <w:color w:val="000000"/>
              </w:rPr>
              <w:t>21</w:t>
            </w:r>
          </w:p>
        </w:tc>
        <w:tc>
          <w:tcPr>
            <w:tcW w:w="468" w:type="pct"/>
            <w:vAlign w:val="bottom"/>
          </w:tcPr>
          <w:p w14:paraId="18A6A34A" w14:textId="6BB0C14D" w:rsidR="004E63FC" w:rsidRPr="004E63FC" w:rsidRDefault="004E63FC" w:rsidP="004E63FC">
            <w:pPr>
              <w:jc w:val="center"/>
              <w:rPr>
                <w:rFonts w:ascii="Calibri" w:eastAsia="Times New Roman" w:hAnsi="Calibri" w:cs="Calibri"/>
                <w:color w:val="000000"/>
                <w:lang w:eastAsia="en-GB"/>
              </w:rPr>
            </w:pPr>
            <w:r w:rsidRPr="004E63FC">
              <w:rPr>
                <w:rFonts w:ascii="Calibri" w:hAnsi="Calibri" w:cs="Calibri"/>
                <w:color w:val="000000"/>
              </w:rPr>
              <w:t>5.8%</w:t>
            </w:r>
          </w:p>
        </w:tc>
        <w:tc>
          <w:tcPr>
            <w:tcW w:w="547" w:type="pct"/>
            <w:noWrap/>
            <w:vAlign w:val="bottom"/>
            <w:hideMark/>
          </w:tcPr>
          <w:p w14:paraId="16E12255" w14:textId="78B91B11" w:rsidR="004E63FC" w:rsidRPr="004E63FC" w:rsidRDefault="004E63FC" w:rsidP="004E63FC">
            <w:pPr>
              <w:jc w:val="center"/>
              <w:rPr>
                <w:rFonts w:ascii="Calibri" w:eastAsia="Times New Roman" w:hAnsi="Calibri" w:cs="Calibri"/>
                <w:color w:val="000000"/>
                <w:lang w:eastAsia="en-GB"/>
              </w:rPr>
            </w:pPr>
            <w:r w:rsidRPr="004E63FC">
              <w:rPr>
                <w:rFonts w:ascii="Calibri" w:hAnsi="Calibri" w:cs="Calibri"/>
                <w:color w:val="000000"/>
              </w:rPr>
              <w:t>12</w:t>
            </w:r>
          </w:p>
        </w:tc>
        <w:tc>
          <w:tcPr>
            <w:tcW w:w="469" w:type="pct"/>
            <w:vAlign w:val="bottom"/>
          </w:tcPr>
          <w:p w14:paraId="2F04A3DC" w14:textId="70504186" w:rsidR="004E63FC" w:rsidRPr="004E63FC" w:rsidRDefault="004E63FC" w:rsidP="004E63FC">
            <w:pPr>
              <w:jc w:val="center"/>
              <w:rPr>
                <w:rFonts w:ascii="Calibri" w:eastAsia="Times New Roman" w:hAnsi="Calibri" w:cs="Calibri"/>
                <w:color w:val="000000"/>
                <w:lang w:eastAsia="en-GB"/>
              </w:rPr>
            </w:pPr>
            <w:r w:rsidRPr="004E63FC">
              <w:rPr>
                <w:rFonts w:ascii="Calibri" w:hAnsi="Calibri" w:cs="Calibri"/>
                <w:color w:val="000000"/>
              </w:rPr>
              <w:t>3.3%</w:t>
            </w:r>
          </w:p>
        </w:tc>
        <w:tc>
          <w:tcPr>
            <w:tcW w:w="546" w:type="pct"/>
            <w:vAlign w:val="bottom"/>
          </w:tcPr>
          <w:p w14:paraId="46A591C0" w14:textId="51EEB6AD" w:rsidR="004E63FC" w:rsidRPr="004E63FC" w:rsidRDefault="004E63FC" w:rsidP="004E63FC">
            <w:pPr>
              <w:jc w:val="center"/>
              <w:rPr>
                <w:rFonts w:ascii="Calibri" w:eastAsia="Times New Roman" w:hAnsi="Calibri" w:cs="Calibri"/>
                <w:color w:val="000000"/>
                <w:lang w:eastAsia="en-GB"/>
              </w:rPr>
            </w:pPr>
            <w:r w:rsidRPr="004E63FC">
              <w:rPr>
                <w:rFonts w:ascii="Calibri" w:hAnsi="Calibri" w:cs="Calibri"/>
                <w:color w:val="000000"/>
              </w:rPr>
              <w:t>…</w:t>
            </w:r>
          </w:p>
        </w:tc>
        <w:tc>
          <w:tcPr>
            <w:tcW w:w="547" w:type="pct"/>
            <w:vAlign w:val="bottom"/>
          </w:tcPr>
          <w:p w14:paraId="2A23E90D" w14:textId="4DE2F492" w:rsidR="004E63FC" w:rsidRPr="004E63FC" w:rsidRDefault="004E63FC" w:rsidP="004E63FC">
            <w:pPr>
              <w:jc w:val="center"/>
              <w:rPr>
                <w:rFonts w:ascii="Calibri" w:eastAsia="Times New Roman" w:hAnsi="Calibri" w:cs="Calibri"/>
                <w:color w:val="000000"/>
                <w:lang w:eastAsia="en-GB"/>
              </w:rPr>
            </w:pPr>
            <w:r w:rsidRPr="004E63FC">
              <w:rPr>
                <w:rFonts w:ascii="Calibri" w:hAnsi="Calibri" w:cs="Calibri"/>
                <w:color w:val="000000"/>
              </w:rPr>
              <w:t>…</w:t>
            </w:r>
          </w:p>
        </w:tc>
      </w:tr>
      <w:tr w:rsidR="004E63FC" w:rsidRPr="004D4E6B" w14:paraId="34F30572" w14:textId="3EB0644D" w:rsidTr="00F44A1E">
        <w:trPr>
          <w:trHeight w:val="277"/>
        </w:trPr>
        <w:tc>
          <w:tcPr>
            <w:tcW w:w="547" w:type="pct"/>
            <w:noWrap/>
            <w:hideMark/>
          </w:tcPr>
          <w:p w14:paraId="4534C977" w14:textId="77777777" w:rsidR="004E63FC" w:rsidRPr="004E63FC" w:rsidRDefault="004E63FC" w:rsidP="004E63FC">
            <w:pPr>
              <w:rPr>
                <w:rFonts w:ascii="Calibri" w:eastAsia="Times New Roman" w:hAnsi="Calibri" w:cs="Calibri"/>
                <w:color w:val="000000"/>
                <w:lang w:eastAsia="en-GB"/>
              </w:rPr>
            </w:pPr>
            <w:r w:rsidRPr="004E63FC">
              <w:rPr>
                <w:rFonts w:ascii="Calibri" w:eastAsia="Times New Roman" w:hAnsi="Calibri" w:cs="Calibri"/>
                <w:color w:val="000000"/>
                <w:lang w:eastAsia="en-GB"/>
              </w:rPr>
              <w:t>Grade H</w:t>
            </w:r>
          </w:p>
        </w:tc>
        <w:tc>
          <w:tcPr>
            <w:tcW w:w="704" w:type="pct"/>
            <w:noWrap/>
            <w:vAlign w:val="bottom"/>
            <w:hideMark/>
          </w:tcPr>
          <w:p w14:paraId="1521BC04" w14:textId="1EE16796" w:rsidR="004E63FC" w:rsidRPr="004E63FC" w:rsidRDefault="004E63FC" w:rsidP="004E63FC">
            <w:pPr>
              <w:jc w:val="center"/>
              <w:rPr>
                <w:rFonts w:ascii="Calibri" w:eastAsia="Times New Roman" w:hAnsi="Calibri" w:cs="Calibri"/>
                <w:color w:val="000000"/>
                <w:lang w:eastAsia="en-GB"/>
              </w:rPr>
            </w:pPr>
            <w:r w:rsidRPr="004E63FC">
              <w:rPr>
                <w:rFonts w:ascii="Calibri" w:hAnsi="Calibri" w:cs="Calibri"/>
                <w:color w:val="000000"/>
              </w:rPr>
              <w:t>85</w:t>
            </w:r>
          </w:p>
        </w:tc>
        <w:tc>
          <w:tcPr>
            <w:tcW w:w="469" w:type="pct"/>
            <w:vAlign w:val="bottom"/>
          </w:tcPr>
          <w:p w14:paraId="2F35E7F9" w14:textId="484F9DC3" w:rsidR="004E63FC" w:rsidRPr="004E63FC" w:rsidRDefault="004E63FC" w:rsidP="004E63FC">
            <w:pPr>
              <w:jc w:val="center"/>
              <w:rPr>
                <w:rFonts w:ascii="Calibri" w:eastAsia="Times New Roman" w:hAnsi="Calibri" w:cs="Calibri"/>
                <w:color w:val="000000"/>
                <w:lang w:eastAsia="en-GB"/>
              </w:rPr>
            </w:pPr>
            <w:r w:rsidRPr="004E63FC">
              <w:rPr>
                <w:rFonts w:ascii="Calibri" w:hAnsi="Calibri" w:cs="Calibri"/>
                <w:color w:val="000000"/>
              </w:rPr>
              <w:t>98.8%</w:t>
            </w:r>
          </w:p>
        </w:tc>
        <w:tc>
          <w:tcPr>
            <w:tcW w:w="703" w:type="pct"/>
            <w:noWrap/>
            <w:vAlign w:val="bottom"/>
            <w:hideMark/>
          </w:tcPr>
          <w:p w14:paraId="4A369A81" w14:textId="6AE53898" w:rsidR="004E63FC" w:rsidRPr="004E63FC" w:rsidRDefault="004E63FC" w:rsidP="004E63FC">
            <w:pPr>
              <w:jc w:val="center"/>
              <w:rPr>
                <w:rFonts w:ascii="Calibri" w:eastAsia="Times New Roman" w:hAnsi="Calibri" w:cs="Calibri"/>
                <w:color w:val="000000"/>
                <w:lang w:eastAsia="en-GB"/>
              </w:rPr>
            </w:pPr>
            <w:r w:rsidRPr="004E63FC">
              <w:rPr>
                <w:rFonts w:ascii="Calibri" w:hAnsi="Calibri" w:cs="Calibri"/>
                <w:color w:val="000000"/>
              </w:rPr>
              <w:t>…</w:t>
            </w:r>
          </w:p>
        </w:tc>
        <w:tc>
          <w:tcPr>
            <w:tcW w:w="468" w:type="pct"/>
            <w:vAlign w:val="bottom"/>
          </w:tcPr>
          <w:p w14:paraId="79667266" w14:textId="76B9056B" w:rsidR="004E63FC" w:rsidRPr="004E63FC" w:rsidRDefault="004E63FC" w:rsidP="004E63FC">
            <w:pPr>
              <w:jc w:val="center"/>
              <w:rPr>
                <w:rFonts w:ascii="Calibri" w:eastAsia="Times New Roman" w:hAnsi="Calibri" w:cs="Calibri"/>
                <w:color w:val="000000"/>
                <w:lang w:eastAsia="en-GB"/>
              </w:rPr>
            </w:pPr>
            <w:r w:rsidRPr="004E63FC">
              <w:rPr>
                <w:rFonts w:ascii="Calibri" w:hAnsi="Calibri" w:cs="Calibri"/>
                <w:color w:val="000000"/>
              </w:rPr>
              <w:t>…</w:t>
            </w:r>
          </w:p>
        </w:tc>
        <w:tc>
          <w:tcPr>
            <w:tcW w:w="547" w:type="pct"/>
            <w:noWrap/>
            <w:vAlign w:val="bottom"/>
            <w:hideMark/>
          </w:tcPr>
          <w:p w14:paraId="2BD2116B" w14:textId="616FBBE1" w:rsidR="004E63FC" w:rsidRPr="004E63FC" w:rsidRDefault="004E63FC" w:rsidP="004E63FC">
            <w:pPr>
              <w:jc w:val="center"/>
              <w:rPr>
                <w:rFonts w:ascii="Calibri" w:eastAsia="Times New Roman" w:hAnsi="Calibri" w:cs="Calibri"/>
                <w:color w:val="000000"/>
                <w:lang w:eastAsia="en-GB"/>
              </w:rPr>
            </w:pPr>
            <w:r w:rsidRPr="004E63FC">
              <w:rPr>
                <w:rFonts w:ascii="Calibri" w:hAnsi="Calibri" w:cs="Calibri"/>
                <w:color w:val="000000"/>
              </w:rPr>
              <w:t>…</w:t>
            </w:r>
          </w:p>
        </w:tc>
        <w:tc>
          <w:tcPr>
            <w:tcW w:w="469" w:type="pct"/>
            <w:vAlign w:val="bottom"/>
          </w:tcPr>
          <w:p w14:paraId="39C1EA2E" w14:textId="16879E07" w:rsidR="004E63FC" w:rsidRPr="004E63FC" w:rsidRDefault="004E63FC" w:rsidP="004E63FC">
            <w:pPr>
              <w:jc w:val="center"/>
              <w:rPr>
                <w:rFonts w:ascii="Calibri" w:eastAsia="Times New Roman" w:hAnsi="Calibri" w:cs="Calibri"/>
                <w:color w:val="000000"/>
                <w:lang w:eastAsia="en-GB"/>
              </w:rPr>
            </w:pPr>
            <w:r w:rsidRPr="004E63FC">
              <w:rPr>
                <w:rFonts w:ascii="Calibri" w:hAnsi="Calibri" w:cs="Calibri"/>
                <w:color w:val="000000"/>
              </w:rPr>
              <w:t>…</w:t>
            </w:r>
          </w:p>
        </w:tc>
        <w:tc>
          <w:tcPr>
            <w:tcW w:w="546" w:type="pct"/>
            <w:vAlign w:val="bottom"/>
          </w:tcPr>
          <w:p w14:paraId="0A1BCC34" w14:textId="6BC62C9C" w:rsidR="004E63FC" w:rsidRPr="004E63FC" w:rsidRDefault="004E63FC" w:rsidP="004E63FC">
            <w:pPr>
              <w:jc w:val="center"/>
              <w:rPr>
                <w:rFonts w:ascii="Calibri" w:eastAsia="Times New Roman" w:hAnsi="Calibri" w:cs="Calibri"/>
                <w:color w:val="000000"/>
                <w:lang w:eastAsia="en-GB"/>
              </w:rPr>
            </w:pPr>
            <w:r w:rsidRPr="004E63FC">
              <w:rPr>
                <w:rFonts w:ascii="Calibri" w:hAnsi="Calibri" w:cs="Calibri"/>
                <w:color w:val="000000"/>
              </w:rPr>
              <w:t>…</w:t>
            </w:r>
          </w:p>
        </w:tc>
        <w:tc>
          <w:tcPr>
            <w:tcW w:w="547" w:type="pct"/>
            <w:vAlign w:val="bottom"/>
          </w:tcPr>
          <w:p w14:paraId="1004A9E1" w14:textId="2CAA541C" w:rsidR="004E63FC" w:rsidRPr="004E63FC" w:rsidRDefault="004E63FC" w:rsidP="004E63FC">
            <w:pPr>
              <w:jc w:val="center"/>
              <w:rPr>
                <w:rFonts w:ascii="Calibri" w:eastAsia="Times New Roman" w:hAnsi="Calibri" w:cs="Calibri"/>
                <w:color w:val="000000"/>
                <w:lang w:eastAsia="en-GB"/>
              </w:rPr>
            </w:pPr>
            <w:r w:rsidRPr="004E63FC">
              <w:rPr>
                <w:rFonts w:ascii="Calibri" w:hAnsi="Calibri" w:cs="Calibri"/>
                <w:color w:val="000000"/>
              </w:rPr>
              <w:t>…</w:t>
            </w:r>
          </w:p>
        </w:tc>
      </w:tr>
      <w:tr w:rsidR="004E63FC" w:rsidRPr="002F7E77" w14:paraId="06E55A78" w14:textId="1DF5D04B" w:rsidTr="00F44A1E">
        <w:trPr>
          <w:trHeight w:val="281"/>
        </w:trPr>
        <w:tc>
          <w:tcPr>
            <w:tcW w:w="547" w:type="pct"/>
            <w:noWrap/>
            <w:hideMark/>
          </w:tcPr>
          <w:p w14:paraId="6A24BC81" w14:textId="77777777" w:rsidR="004E63FC" w:rsidRPr="004E63FC" w:rsidRDefault="004E63FC" w:rsidP="004E63FC">
            <w:pPr>
              <w:rPr>
                <w:rFonts w:ascii="Calibri" w:eastAsia="Times New Roman" w:hAnsi="Calibri" w:cs="Calibri"/>
                <w:color w:val="000000"/>
                <w:lang w:eastAsia="en-GB"/>
              </w:rPr>
            </w:pPr>
            <w:r w:rsidRPr="004E63FC">
              <w:rPr>
                <w:rFonts w:ascii="Calibri" w:eastAsia="Times New Roman" w:hAnsi="Calibri" w:cs="Calibri"/>
                <w:color w:val="000000"/>
                <w:lang w:eastAsia="en-GB"/>
              </w:rPr>
              <w:t>Grade I</w:t>
            </w:r>
          </w:p>
        </w:tc>
        <w:tc>
          <w:tcPr>
            <w:tcW w:w="704" w:type="pct"/>
            <w:noWrap/>
            <w:vAlign w:val="bottom"/>
            <w:hideMark/>
          </w:tcPr>
          <w:p w14:paraId="1E6095C1" w14:textId="4D836CAF" w:rsidR="004E63FC" w:rsidRPr="004E63FC" w:rsidRDefault="004E63FC" w:rsidP="004E63FC">
            <w:pPr>
              <w:jc w:val="center"/>
              <w:rPr>
                <w:rFonts w:ascii="Calibri" w:eastAsia="Times New Roman" w:hAnsi="Calibri" w:cs="Calibri"/>
                <w:color w:val="000000"/>
                <w:lang w:eastAsia="en-GB"/>
              </w:rPr>
            </w:pPr>
            <w:r w:rsidRPr="004E63FC">
              <w:rPr>
                <w:rFonts w:ascii="Calibri" w:hAnsi="Calibri" w:cs="Calibri"/>
                <w:color w:val="000000"/>
              </w:rPr>
              <w:t>40</w:t>
            </w:r>
          </w:p>
        </w:tc>
        <w:tc>
          <w:tcPr>
            <w:tcW w:w="469" w:type="pct"/>
            <w:vAlign w:val="bottom"/>
          </w:tcPr>
          <w:p w14:paraId="2311E5CD" w14:textId="45ED6238" w:rsidR="004E63FC" w:rsidRPr="004E63FC" w:rsidRDefault="004E63FC" w:rsidP="004E63FC">
            <w:pPr>
              <w:jc w:val="center"/>
              <w:rPr>
                <w:rFonts w:ascii="Calibri" w:eastAsia="Times New Roman" w:hAnsi="Calibri" w:cs="Calibri"/>
                <w:color w:val="000000"/>
                <w:lang w:eastAsia="en-GB"/>
              </w:rPr>
            </w:pPr>
            <w:r w:rsidRPr="004E63FC">
              <w:rPr>
                <w:rFonts w:ascii="Calibri" w:hAnsi="Calibri" w:cs="Calibri"/>
                <w:color w:val="000000"/>
              </w:rPr>
              <w:t>97.6%</w:t>
            </w:r>
          </w:p>
        </w:tc>
        <w:tc>
          <w:tcPr>
            <w:tcW w:w="703" w:type="pct"/>
            <w:noWrap/>
            <w:vAlign w:val="bottom"/>
            <w:hideMark/>
          </w:tcPr>
          <w:p w14:paraId="7A5DCE5F" w14:textId="61E8FBA8" w:rsidR="004E63FC" w:rsidRPr="004E63FC" w:rsidRDefault="004E63FC" w:rsidP="004E63FC">
            <w:pPr>
              <w:jc w:val="center"/>
              <w:rPr>
                <w:rFonts w:ascii="Calibri" w:eastAsia="Times New Roman" w:hAnsi="Calibri" w:cs="Calibri"/>
                <w:color w:val="000000"/>
                <w:lang w:eastAsia="en-GB"/>
              </w:rPr>
            </w:pPr>
            <w:r w:rsidRPr="004E63FC">
              <w:rPr>
                <w:rFonts w:ascii="Calibri" w:hAnsi="Calibri" w:cs="Calibri"/>
                <w:color w:val="000000"/>
              </w:rPr>
              <w:t>…</w:t>
            </w:r>
          </w:p>
        </w:tc>
        <w:tc>
          <w:tcPr>
            <w:tcW w:w="468" w:type="pct"/>
            <w:vAlign w:val="bottom"/>
          </w:tcPr>
          <w:p w14:paraId="2A4DEB65" w14:textId="420B3B91" w:rsidR="004E63FC" w:rsidRPr="004E63FC" w:rsidRDefault="004E63FC" w:rsidP="004E63FC">
            <w:pPr>
              <w:jc w:val="center"/>
              <w:rPr>
                <w:rFonts w:ascii="Calibri" w:eastAsia="Times New Roman" w:hAnsi="Calibri" w:cs="Calibri"/>
                <w:color w:val="000000"/>
                <w:lang w:eastAsia="en-GB"/>
              </w:rPr>
            </w:pPr>
            <w:r w:rsidRPr="004E63FC">
              <w:rPr>
                <w:rFonts w:ascii="Calibri" w:hAnsi="Calibri" w:cs="Calibri"/>
                <w:color w:val="000000"/>
              </w:rPr>
              <w:t>…</w:t>
            </w:r>
          </w:p>
        </w:tc>
        <w:tc>
          <w:tcPr>
            <w:tcW w:w="547" w:type="pct"/>
            <w:noWrap/>
            <w:vAlign w:val="bottom"/>
            <w:hideMark/>
          </w:tcPr>
          <w:p w14:paraId="7BC31ABA" w14:textId="73203348" w:rsidR="004E63FC" w:rsidRPr="004E63FC" w:rsidRDefault="004E63FC" w:rsidP="004E63FC">
            <w:pPr>
              <w:jc w:val="center"/>
              <w:rPr>
                <w:rFonts w:ascii="Calibri" w:eastAsia="Times New Roman" w:hAnsi="Calibri" w:cs="Calibri"/>
                <w:color w:val="000000"/>
                <w:lang w:eastAsia="en-GB"/>
              </w:rPr>
            </w:pPr>
            <w:r w:rsidRPr="004E63FC">
              <w:rPr>
                <w:rFonts w:ascii="Calibri" w:hAnsi="Calibri" w:cs="Calibri"/>
                <w:color w:val="000000"/>
              </w:rPr>
              <w:t>…</w:t>
            </w:r>
          </w:p>
        </w:tc>
        <w:tc>
          <w:tcPr>
            <w:tcW w:w="469" w:type="pct"/>
            <w:vAlign w:val="bottom"/>
          </w:tcPr>
          <w:p w14:paraId="767C6A4D" w14:textId="355C3809" w:rsidR="004E63FC" w:rsidRPr="004E63FC" w:rsidRDefault="004E63FC" w:rsidP="004E63FC">
            <w:pPr>
              <w:jc w:val="center"/>
              <w:rPr>
                <w:rFonts w:ascii="Calibri" w:eastAsia="Times New Roman" w:hAnsi="Calibri" w:cs="Calibri"/>
                <w:color w:val="000000"/>
                <w:lang w:eastAsia="en-GB"/>
              </w:rPr>
            </w:pPr>
            <w:r w:rsidRPr="004E63FC">
              <w:rPr>
                <w:rFonts w:ascii="Calibri" w:hAnsi="Calibri" w:cs="Calibri"/>
                <w:color w:val="000000"/>
              </w:rPr>
              <w:t>…</w:t>
            </w:r>
          </w:p>
        </w:tc>
        <w:tc>
          <w:tcPr>
            <w:tcW w:w="546" w:type="pct"/>
            <w:vAlign w:val="bottom"/>
          </w:tcPr>
          <w:p w14:paraId="26005633" w14:textId="2DDE73E2" w:rsidR="004E63FC" w:rsidRPr="004E63FC" w:rsidRDefault="004E63FC" w:rsidP="004E63FC">
            <w:pPr>
              <w:jc w:val="center"/>
              <w:rPr>
                <w:rFonts w:ascii="Calibri" w:eastAsia="Times New Roman" w:hAnsi="Calibri" w:cs="Calibri"/>
                <w:color w:val="000000"/>
                <w:lang w:eastAsia="en-GB"/>
              </w:rPr>
            </w:pPr>
            <w:r w:rsidRPr="004E63FC">
              <w:rPr>
                <w:rFonts w:ascii="Calibri" w:hAnsi="Calibri" w:cs="Calibri"/>
                <w:color w:val="000000"/>
              </w:rPr>
              <w:t>…</w:t>
            </w:r>
          </w:p>
        </w:tc>
        <w:tc>
          <w:tcPr>
            <w:tcW w:w="547" w:type="pct"/>
            <w:vAlign w:val="bottom"/>
          </w:tcPr>
          <w:p w14:paraId="7A447F85" w14:textId="4A106AEF" w:rsidR="004E63FC" w:rsidRPr="004E63FC" w:rsidRDefault="004E63FC" w:rsidP="004E63FC">
            <w:pPr>
              <w:jc w:val="center"/>
              <w:rPr>
                <w:rFonts w:ascii="Calibri" w:eastAsia="Times New Roman" w:hAnsi="Calibri" w:cs="Calibri"/>
                <w:color w:val="000000"/>
                <w:lang w:eastAsia="en-GB"/>
              </w:rPr>
            </w:pPr>
            <w:r w:rsidRPr="004E63FC">
              <w:rPr>
                <w:rFonts w:ascii="Calibri" w:hAnsi="Calibri" w:cs="Calibri"/>
                <w:color w:val="000000"/>
              </w:rPr>
              <w:t>…</w:t>
            </w:r>
          </w:p>
        </w:tc>
      </w:tr>
    </w:tbl>
    <w:p w14:paraId="528C014E" w14:textId="77777777" w:rsidR="00901593" w:rsidRDefault="00901593" w:rsidP="00AB5BD5"/>
    <w:p w14:paraId="13EA781F" w14:textId="27CBDA8C" w:rsidR="74EB442F" w:rsidRDefault="260789BA" w:rsidP="53766C39">
      <w:pPr>
        <w:pStyle w:val="Heading3"/>
        <w:rPr>
          <w:rFonts w:ascii="Calibri Light" w:hAnsi="Calibri Light"/>
          <w:b/>
          <w:bCs/>
          <w:color w:val="1F3763"/>
        </w:rPr>
      </w:pPr>
      <w:r w:rsidRPr="53766C39">
        <w:rPr>
          <w:b/>
          <w:bCs/>
        </w:rPr>
        <w:t>Ethnicity and sex</w:t>
      </w:r>
      <w:bookmarkEnd w:id="186"/>
      <w:bookmarkEnd w:id="187"/>
      <w:bookmarkEnd w:id="188"/>
      <w:bookmarkEnd w:id="189"/>
      <w:r w:rsidRPr="53766C39">
        <w:rPr>
          <w:b/>
          <w:bCs/>
        </w:rPr>
        <w:t xml:space="preserve"> </w:t>
      </w:r>
      <w:bookmarkEnd w:id="190"/>
    </w:p>
    <w:p w14:paraId="2D4F8BBD" w14:textId="77777777" w:rsidR="004D4E6B" w:rsidRPr="004D4E6B" w:rsidRDefault="004D4E6B" w:rsidP="004D4E6B">
      <w:pPr>
        <w:spacing w:line="257" w:lineRule="auto"/>
        <w:rPr>
          <w:rFonts w:ascii="Calibri" w:eastAsia="Calibri" w:hAnsi="Calibri" w:cs="Calibri"/>
        </w:rPr>
      </w:pPr>
      <w:bookmarkStart w:id="191" w:name="_Toc86832937"/>
      <w:r w:rsidRPr="004D4E6B">
        <w:rPr>
          <w:rFonts w:ascii="Calibri" w:eastAsia="Calibri" w:hAnsi="Calibri" w:cs="Calibri"/>
        </w:rPr>
        <w:t xml:space="preserve">Across our 2022 snapshot data, there was a higher representation of colleagues from minoritised ethnic backgrounds among male colleagues (11.4%), than among female colleagues (9.8%). </w:t>
      </w:r>
    </w:p>
    <w:p w14:paraId="7F092A09" w14:textId="15BA8185" w:rsidR="00356CFC" w:rsidRPr="00D61C4C" w:rsidRDefault="004D4E6B" w:rsidP="004D4E6B">
      <w:pPr>
        <w:spacing w:line="257" w:lineRule="auto"/>
        <w:rPr>
          <w:rFonts w:ascii="Calibri" w:eastAsia="Calibri" w:hAnsi="Calibri" w:cs="Calibri"/>
        </w:rPr>
      </w:pPr>
      <w:r w:rsidRPr="004D4E6B">
        <w:rPr>
          <w:rFonts w:ascii="Calibri" w:eastAsia="Calibri" w:hAnsi="Calibri" w:cs="Calibri"/>
        </w:rPr>
        <w:t>When looking at the proportion of female and male colleagues across PS and academic occupations, representation of colleagues from minoritised ethnic backgrounds was higher among female PS colleagues (5.7%) than males PS colleagues (5.0%). Whilst among academics, representation of colleagues from minoritised ethnic backgrounds was slightly higher among male (16.8%) than female colleagues (16.4%).</w:t>
      </w:r>
    </w:p>
    <w:p w14:paraId="3097AD9C" w14:textId="7E4B4D71" w:rsidR="71DF1E09" w:rsidRDefault="71DF1E09" w:rsidP="53766C39">
      <w:pPr>
        <w:pStyle w:val="Heading2"/>
        <w:rPr>
          <w:rFonts w:ascii="Calibri Light" w:hAnsi="Calibri Light"/>
          <w:b/>
          <w:bCs/>
        </w:rPr>
      </w:pPr>
      <w:bookmarkStart w:id="192" w:name="_Toc94185455"/>
      <w:r w:rsidRPr="53766C39">
        <w:rPr>
          <w:b/>
          <w:bCs/>
        </w:rPr>
        <w:lastRenderedPageBreak/>
        <w:t xml:space="preserve">Gender </w:t>
      </w:r>
      <w:r w:rsidR="121AA13B" w:rsidRPr="53766C39">
        <w:rPr>
          <w:b/>
          <w:bCs/>
        </w:rPr>
        <w:t>affirmation</w:t>
      </w:r>
      <w:r w:rsidRPr="3C4DAE66">
        <w:rPr>
          <w:b/>
          <w:bCs/>
          <w:vertAlign w:val="superscript"/>
        </w:rPr>
        <w:footnoteReference w:id="3"/>
      </w:r>
      <w:bookmarkEnd w:id="191"/>
      <w:bookmarkEnd w:id="192"/>
      <w:r w:rsidRPr="3C4DAE66">
        <w:rPr>
          <w:b/>
          <w:bCs/>
          <w:vertAlign w:val="superscript"/>
        </w:rPr>
        <w:t xml:space="preserve"> </w:t>
      </w:r>
    </w:p>
    <w:p w14:paraId="14258B71" w14:textId="79A2D6EB" w:rsidR="004D4E6B" w:rsidRDefault="004D4E6B" w:rsidP="004D4E6B">
      <w:r>
        <w:t>At the point of our 2022 snapshot date, 0.2% of colleagues stated their gender is not the same as it was at birth. This figure is a slight increase on 2021 (0.1%) and 2020 (0%). However, this data remains lower than the sector comparator figure of 0.6% among those institutions who returned data on this characteristic to HESA in 2020/2021 (Advance HE 2022).</w:t>
      </w:r>
    </w:p>
    <w:p w14:paraId="6D39FF24" w14:textId="002FEE0E" w:rsidR="7AEB4F77" w:rsidRDefault="004D4E6B" w:rsidP="004D4E6B">
      <w:pPr>
        <w:rPr>
          <w:rFonts w:ascii="Calibri" w:eastAsia="Calibri" w:hAnsi="Calibri" w:cs="Calibri"/>
        </w:rPr>
      </w:pPr>
      <w:r>
        <w:t>Within the snapshot data, 38% of colleagues stated their gender was the same as their birth gender, whilst 2.4% preferred not to answer the question. We had no recorded response for 59.5% of colleagues. Whilst this figure represents a 6.5% improvement in return rates from 2021 and a 13.6% increase since 2018, it is still a lower data sharing rate than that of the institutions that returned information on this characteristic to HESA for 2020/21, who collectively had no recorded response for 39.5% of their colleagues (Advance HE 2022)</w:t>
      </w:r>
      <w:r w:rsidR="44F38D8A" w:rsidRPr="3C4DAE66">
        <w:rPr>
          <w:rFonts w:ascii="Calibri" w:eastAsia="Calibri" w:hAnsi="Calibri" w:cs="Calibri"/>
        </w:rPr>
        <w:t xml:space="preserve">. </w:t>
      </w:r>
    </w:p>
    <w:p w14:paraId="65B57BA7" w14:textId="16B3539A" w:rsidR="71DF1E09" w:rsidRDefault="71DF1E09" w:rsidP="53766C39">
      <w:pPr>
        <w:pStyle w:val="Heading2"/>
        <w:rPr>
          <w:rFonts w:ascii="Calibri Light" w:hAnsi="Calibri Light"/>
          <w:b/>
          <w:bCs/>
        </w:rPr>
      </w:pPr>
      <w:bookmarkStart w:id="193" w:name="_Toc86832938"/>
      <w:bookmarkStart w:id="194" w:name="_Toc94185456"/>
      <w:r w:rsidRPr="53766C39">
        <w:rPr>
          <w:b/>
          <w:bCs/>
        </w:rPr>
        <w:t>Marriage and civil partnership</w:t>
      </w:r>
      <w:bookmarkEnd w:id="193"/>
      <w:bookmarkEnd w:id="194"/>
      <w:r w:rsidRPr="53766C39">
        <w:rPr>
          <w:b/>
          <w:bCs/>
        </w:rPr>
        <w:t xml:space="preserve"> </w:t>
      </w:r>
    </w:p>
    <w:p w14:paraId="74528F19" w14:textId="48A8DEA6" w:rsidR="3905B53E" w:rsidRDefault="000575F3" w:rsidP="000575F3">
      <w:pPr>
        <w:rPr>
          <w:b/>
          <w:bCs/>
        </w:rPr>
      </w:pPr>
      <w:r>
        <w:t>At the 2022 snapshot date, 27.1% of colleagues informed us they were married, whilst 24.9% said they were single. We had no recorded information for 48.1% of colleagues, which is a decrease of 6.7% since 2021. We currently do not collect data on civil partnerships but intend to do so as part of enhancements to our data system.</w:t>
      </w:r>
    </w:p>
    <w:p w14:paraId="4228B19F" w14:textId="6129E62B" w:rsidR="71DF1E09" w:rsidRDefault="71DF1E09" w:rsidP="53766C39">
      <w:pPr>
        <w:pStyle w:val="Heading2"/>
        <w:rPr>
          <w:rFonts w:ascii="Calibri Light" w:hAnsi="Calibri Light"/>
          <w:b/>
          <w:bCs/>
        </w:rPr>
      </w:pPr>
      <w:bookmarkStart w:id="195" w:name="_Toc86832939"/>
      <w:bookmarkStart w:id="196" w:name="_Toc94185457"/>
      <w:r w:rsidRPr="53766C39">
        <w:rPr>
          <w:b/>
          <w:bCs/>
        </w:rPr>
        <w:t>Pregnancy and maternity</w:t>
      </w:r>
      <w:bookmarkEnd w:id="195"/>
      <w:bookmarkEnd w:id="196"/>
      <w:r w:rsidRPr="53766C39">
        <w:rPr>
          <w:b/>
          <w:bCs/>
        </w:rPr>
        <w:t xml:space="preserve"> </w:t>
      </w:r>
    </w:p>
    <w:p w14:paraId="5F42E0DA" w14:textId="07513AC8" w:rsidR="000575F3" w:rsidRDefault="000575F3" w:rsidP="000575F3">
      <w:r>
        <w:t xml:space="preserve">During the 2022 snapshot period, 271 colleagues took parental leave on 288 occasions. With some colleagues for instance taking maternity leave and later in the year shared parental leave, whereas others did take for instance unpaid parental leave more than once within the snapshot period. </w:t>
      </w:r>
    </w:p>
    <w:p w14:paraId="5D0FD2F4" w14:textId="4BD28E9A" w:rsidR="2DE294DF" w:rsidRDefault="000575F3" w:rsidP="000575F3">
      <w:r>
        <w:t>Of those who took parental leave (271 colleagues), 70.8% took maternity leave. Among the total of those who took maternity leave, 39.1% were academic colleagues and 60.9% were PS. In addition, overall, of those who took parental leave, 24.4% took paternity leave, 5.5% took shared parental leave (paid or unpaid), and 5 colleagues or fewer took adoption leave or unpaid parental leave.</w:t>
      </w:r>
    </w:p>
    <w:p w14:paraId="1B9B860B" w14:textId="0860E6C8" w:rsidR="71DF1E09" w:rsidRDefault="71DF1E09" w:rsidP="53766C39">
      <w:pPr>
        <w:pStyle w:val="Heading2"/>
        <w:rPr>
          <w:rFonts w:ascii="Calibri Light" w:hAnsi="Calibri Light"/>
          <w:b/>
          <w:bCs/>
        </w:rPr>
      </w:pPr>
      <w:bookmarkStart w:id="197" w:name="_Toc86832940"/>
      <w:bookmarkStart w:id="198" w:name="_Toc94185458"/>
      <w:r w:rsidRPr="53766C39">
        <w:rPr>
          <w:b/>
          <w:bCs/>
        </w:rPr>
        <w:t>Religion and belief</w:t>
      </w:r>
      <w:bookmarkEnd w:id="197"/>
      <w:bookmarkEnd w:id="198"/>
    </w:p>
    <w:p w14:paraId="46A94A15" w14:textId="77777777" w:rsidR="000575F3" w:rsidRDefault="000575F3" w:rsidP="000575F3">
      <w:r>
        <w:t xml:space="preserve">At the 2022 snapshot date (Table 54), 17.9% of colleagues chose to tell us they had a religion. 13.4% were Christian, 2.5% stated having a religion not listed, 0.6% Hindu, and 0.5% identified as Spiritual. 0.4% identified as Muslim or Buddhist. </w:t>
      </w:r>
    </w:p>
    <w:p w14:paraId="678BECEE" w14:textId="1292521F" w:rsidR="000575F3" w:rsidRDefault="000575F3" w:rsidP="000575F3">
      <w:r>
        <w:t>The number of colleagues who reported having no religion (19.4%) or prefer not to say (4.8%), has continued to rise gradually since 2018. We had no response recorded for 57.9% of colleagues, however, whilst this figure is still high it represents an improvement in data sharing since 2021, where we had no response recorded for 64.5% of colleagues. Our data sharing/return rate is lower than that of the institutions that returned information on this characteristic to HESA for 2020/21, who collectively had no recorded response for 30.0% of their colleagues (Advance HE 2022).</w:t>
      </w:r>
    </w:p>
    <w:p w14:paraId="4BB1B81C" w14:textId="3C69A584" w:rsidR="008A059F" w:rsidRDefault="000575F3" w:rsidP="000575F3">
      <w:pPr>
        <w:rPr>
          <w:b/>
          <w:bCs/>
        </w:rPr>
      </w:pPr>
      <w:r w:rsidRPr="000575F3">
        <w:rPr>
          <w:rFonts w:ascii="Calibri" w:eastAsia="Times New Roman" w:hAnsi="Calibri" w:cs="Calibri"/>
          <w:b/>
          <w:bCs/>
          <w:color w:val="000000"/>
          <w:lang w:eastAsia="en-GB"/>
        </w:rPr>
        <w:t>Table:</w:t>
      </w:r>
      <w:r w:rsidRPr="000575F3">
        <w:t xml:space="preserve"> </w:t>
      </w:r>
      <w:r w:rsidRPr="000575F3">
        <w:rPr>
          <w:b/>
          <w:bCs/>
        </w:rPr>
        <w:t>Religion over time, 2018-2022</w:t>
      </w:r>
      <w:r w:rsidR="008A059F">
        <w:rPr>
          <w:b/>
          <w:bCs/>
        </w:rPr>
        <w:t>.</w:t>
      </w:r>
    </w:p>
    <w:tbl>
      <w:tblPr>
        <w:tblStyle w:val="TableGrid"/>
        <w:tblW w:w="9016" w:type="dxa"/>
        <w:tblLook w:val="04A0" w:firstRow="1" w:lastRow="0" w:firstColumn="1" w:lastColumn="0" w:noHBand="0" w:noVBand="1"/>
      </w:tblPr>
      <w:tblGrid>
        <w:gridCol w:w="3609"/>
        <w:gridCol w:w="1076"/>
        <w:gridCol w:w="1076"/>
        <w:gridCol w:w="1098"/>
        <w:gridCol w:w="1098"/>
        <w:gridCol w:w="1059"/>
      </w:tblGrid>
      <w:tr w:rsidR="008A059F" w:rsidRPr="000575F3" w14:paraId="10747D65" w14:textId="77777777" w:rsidTr="00D65B29">
        <w:trPr>
          <w:trHeight w:val="306"/>
        </w:trPr>
        <w:tc>
          <w:tcPr>
            <w:tcW w:w="3609" w:type="dxa"/>
            <w:noWrap/>
            <w:hideMark/>
          </w:tcPr>
          <w:p w14:paraId="2626C465" w14:textId="1BF04E39" w:rsidR="008A059F" w:rsidRPr="000C3DA5" w:rsidRDefault="008A059F" w:rsidP="00D65B29">
            <w:pPr>
              <w:rPr>
                <w:rFonts w:ascii="Calibri" w:eastAsia="Times New Roman" w:hAnsi="Calibri" w:cs="Calibri"/>
                <w:b/>
                <w:bCs/>
                <w:color w:val="000000"/>
                <w:lang w:eastAsia="en-GB"/>
              </w:rPr>
            </w:pPr>
          </w:p>
        </w:tc>
        <w:tc>
          <w:tcPr>
            <w:tcW w:w="1076" w:type="dxa"/>
            <w:noWrap/>
            <w:hideMark/>
          </w:tcPr>
          <w:p w14:paraId="38492824" w14:textId="77777777" w:rsidR="008A059F" w:rsidRPr="000C3DA5" w:rsidRDefault="008A059F" w:rsidP="00D65B29">
            <w:pPr>
              <w:rPr>
                <w:rFonts w:ascii="Calibri" w:eastAsia="Times New Roman" w:hAnsi="Calibri" w:cs="Calibri"/>
                <w:b/>
                <w:bCs/>
                <w:color w:val="000000"/>
                <w:lang w:eastAsia="en-GB"/>
              </w:rPr>
            </w:pPr>
            <w:r w:rsidRPr="000C3DA5">
              <w:rPr>
                <w:rFonts w:ascii="Calibri" w:eastAsia="Times New Roman" w:hAnsi="Calibri" w:cs="Calibri"/>
                <w:b/>
                <w:bCs/>
                <w:color w:val="000000"/>
                <w:lang w:eastAsia="en-GB"/>
              </w:rPr>
              <w:t>2018</w:t>
            </w:r>
          </w:p>
        </w:tc>
        <w:tc>
          <w:tcPr>
            <w:tcW w:w="1076" w:type="dxa"/>
            <w:noWrap/>
            <w:hideMark/>
          </w:tcPr>
          <w:p w14:paraId="6995B18F" w14:textId="77777777" w:rsidR="008A059F" w:rsidRPr="000C3DA5" w:rsidRDefault="008A059F" w:rsidP="00D65B29">
            <w:pPr>
              <w:rPr>
                <w:rFonts w:ascii="Calibri" w:eastAsia="Times New Roman" w:hAnsi="Calibri" w:cs="Calibri"/>
                <w:b/>
                <w:bCs/>
                <w:color w:val="000000"/>
                <w:lang w:eastAsia="en-GB"/>
              </w:rPr>
            </w:pPr>
            <w:r w:rsidRPr="000C3DA5">
              <w:rPr>
                <w:rFonts w:ascii="Calibri" w:eastAsia="Times New Roman" w:hAnsi="Calibri" w:cs="Calibri"/>
                <w:b/>
                <w:bCs/>
                <w:color w:val="000000"/>
                <w:lang w:eastAsia="en-GB"/>
              </w:rPr>
              <w:t>2019</w:t>
            </w:r>
          </w:p>
        </w:tc>
        <w:tc>
          <w:tcPr>
            <w:tcW w:w="1098" w:type="dxa"/>
            <w:noWrap/>
            <w:hideMark/>
          </w:tcPr>
          <w:p w14:paraId="2EC9BBE7" w14:textId="77777777" w:rsidR="008A059F" w:rsidRPr="000C3DA5" w:rsidRDefault="008A059F" w:rsidP="00D65B29">
            <w:pPr>
              <w:rPr>
                <w:rFonts w:ascii="Calibri" w:eastAsia="Times New Roman" w:hAnsi="Calibri" w:cs="Calibri"/>
                <w:b/>
                <w:bCs/>
                <w:color w:val="000000"/>
                <w:lang w:eastAsia="en-GB"/>
              </w:rPr>
            </w:pPr>
            <w:r w:rsidRPr="000C3DA5">
              <w:rPr>
                <w:rFonts w:ascii="Calibri" w:eastAsia="Times New Roman" w:hAnsi="Calibri" w:cs="Calibri"/>
                <w:b/>
                <w:bCs/>
                <w:color w:val="000000"/>
                <w:lang w:eastAsia="en-GB"/>
              </w:rPr>
              <w:t>2020</w:t>
            </w:r>
          </w:p>
        </w:tc>
        <w:tc>
          <w:tcPr>
            <w:tcW w:w="1098" w:type="dxa"/>
            <w:noWrap/>
            <w:hideMark/>
          </w:tcPr>
          <w:p w14:paraId="0C3A578D" w14:textId="77777777" w:rsidR="008A059F" w:rsidRPr="000C3DA5" w:rsidRDefault="008A059F" w:rsidP="00D65B29">
            <w:pPr>
              <w:rPr>
                <w:rFonts w:ascii="Calibri" w:eastAsia="Times New Roman" w:hAnsi="Calibri" w:cs="Calibri"/>
                <w:b/>
                <w:bCs/>
                <w:color w:val="000000"/>
                <w:lang w:eastAsia="en-GB"/>
              </w:rPr>
            </w:pPr>
            <w:r w:rsidRPr="000C3DA5">
              <w:rPr>
                <w:rFonts w:ascii="Calibri" w:eastAsia="Times New Roman" w:hAnsi="Calibri" w:cs="Calibri"/>
                <w:b/>
                <w:bCs/>
                <w:color w:val="000000"/>
                <w:lang w:eastAsia="en-GB"/>
              </w:rPr>
              <w:t>2021</w:t>
            </w:r>
          </w:p>
        </w:tc>
        <w:tc>
          <w:tcPr>
            <w:tcW w:w="1059" w:type="dxa"/>
          </w:tcPr>
          <w:p w14:paraId="353D6C67" w14:textId="77777777" w:rsidR="008A059F" w:rsidRPr="000C3DA5" w:rsidRDefault="008A059F" w:rsidP="00D65B29">
            <w:pPr>
              <w:rPr>
                <w:rFonts w:ascii="Calibri" w:eastAsia="Times New Roman" w:hAnsi="Calibri" w:cs="Calibri"/>
                <w:b/>
                <w:bCs/>
                <w:color w:val="000000"/>
                <w:lang w:eastAsia="en-GB"/>
              </w:rPr>
            </w:pPr>
            <w:r w:rsidRPr="000C3DA5">
              <w:rPr>
                <w:rFonts w:ascii="Calibri" w:eastAsia="Times New Roman" w:hAnsi="Calibri" w:cs="Calibri"/>
                <w:b/>
                <w:bCs/>
                <w:color w:val="000000"/>
                <w:lang w:eastAsia="en-GB"/>
              </w:rPr>
              <w:t>2022</w:t>
            </w:r>
          </w:p>
        </w:tc>
      </w:tr>
      <w:tr w:rsidR="008A059F" w:rsidRPr="000575F3" w14:paraId="12308CE6" w14:textId="77777777" w:rsidTr="009F169B">
        <w:trPr>
          <w:trHeight w:val="295"/>
        </w:trPr>
        <w:tc>
          <w:tcPr>
            <w:tcW w:w="3609" w:type="dxa"/>
            <w:noWrap/>
            <w:hideMark/>
          </w:tcPr>
          <w:p w14:paraId="5FFB343A" w14:textId="455D2009" w:rsidR="008A059F" w:rsidRPr="000C3DA5" w:rsidRDefault="008A059F" w:rsidP="008A059F">
            <w:pPr>
              <w:rPr>
                <w:rFonts w:ascii="Calibri" w:eastAsia="Times New Roman" w:hAnsi="Calibri" w:cs="Calibri"/>
                <w:color w:val="000000"/>
                <w:lang w:eastAsia="en-GB"/>
              </w:rPr>
            </w:pPr>
            <w:r w:rsidRPr="000C3DA5">
              <w:rPr>
                <w:rFonts w:ascii="Calibri" w:eastAsia="Times New Roman" w:hAnsi="Calibri" w:cs="Calibri"/>
                <w:color w:val="000000"/>
                <w:lang w:eastAsia="en-GB"/>
              </w:rPr>
              <w:t>Religious/Spiritual Total</w:t>
            </w:r>
          </w:p>
        </w:tc>
        <w:tc>
          <w:tcPr>
            <w:tcW w:w="1076" w:type="dxa"/>
            <w:noWrap/>
            <w:vAlign w:val="bottom"/>
          </w:tcPr>
          <w:p w14:paraId="430F792D" w14:textId="6607BB4B" w:rsidR="008A059F" w:rsidRPr="000C3DA5" w:rsidRDefault="008A059F" w:rsidP="008A059F">
            <w:pPr>
              <w:jc w:val="right"/>
              <w:rPr>
                <w:rFonts w:ascii="Calibri" w:eastAsia="Times New Roman" w:hAnsi="Calibri" w:cs="Calibri"/>
                <w:color w:val="000000"/>
                <w:lang w:eastAsia="en-GB"/>
              </w:rPr>
            </w:pPr>
            <w:r w:rsidRPr="000C3DA5">
              <w:rPr>
                <w:rFonts w:ascii="Calibri" w:hAnsi="Calibri" w:cs="Calibri"/>
                <w:b/>
                <w:bCs/>
                <w:color w:val="000000"/>
              </w:rPr>
              <w:t>12.5%</w:t>
            </w:r>
          </w:p>
        </w:tc>
        <w:tc>
          <w:tcPr>
            <w:tcW w:w="1076" w:type="dxa"/>
            <w:noWrap/>
            <w:vAlign w:val="bottom"/>
          </w:tcPr>
          <w:p w14:paraId="43A88099" w14:textId="51A9118C" w:rsidR="008A059F" w:rsidRPr="000C3DA5" w:rsidRDefault="008A059F" w:rsidP="008A059F">
            <w:pPr>
              <w:jc w:val="right"/>
              <w:rPr>
                <w:rFonts w:ascii="Calibri" w:eastAsia="Times New Roman" w:hAnsi="Calibri" w:cs="Calibri"/>
                <w:color w:val="000000"/>
                <w:lang w:eastAsia="en-GB"/>
              </w:rPr>
            </w:pPr>
            <w:r w:rsidRPr="000C3DA5">
              <w:rPr>
                <w:rFonts w:ascii="Calibri" w:hAnsi="Calibri" w:cs="Calibri"/>
                <w:b/>
                <w:bCs/>
                <w:color w:val="000000"/>
              </w:rPr>
              <w:t>12.8%</w:t>
            </w:r>
          </w:p>
        </w:tc>
        <w:tc>
          <w:tcPr>
            <w:tcW w:w="1098" w:type="dxa"/>
            <w:noWrap/>
            <w:vAlign w:val="bottom"/>
          </w:tcPr>
          <w:p w14:paraId="325A51D6" w14:textId="5E1317E0" w:rsidR="008A059F" w:rsidRPr="000C3DA5" w:rsidRDefault="008A059F" w:rsidP="008A059F">
            <w:pPr>
              <w:jc w:val="right"/>
              <w:rPr>
                <w:rFonts w:ascii="Calibri" w:eastAsia="Times New Roman" w:hAnsi="Calibri" w:cs="Calibri"/>
                <w:color w:val="000000"/>
                <w:lang w:eastAsia="en-GB"/>
              </w:rPr>
            </w:pPr>
            <w:r w:rsidRPr="000C3DA5">
              <w:rPr>
                <w:rFonts w:ascii="Calibri" w:hAnsi="Calibri" w:cs="Calibri"/>
                <w:b/>
                <w:bCs/>
                <w:color w:val="000000"/>
              </w:rPr>
              <w:t>13.3%</w:t>
            </w:r>
          </w:p>
        </w:tc>
        <w:tc>
          <w:tcPr>
            <w:tcW w:w="1098" w:type="dxa"/>
            <w:noWrap/>
            <w:vAlign w:val="bottom"/>
          </w:tcPr>
          <w:p w14:paraId="4E0259EE" w14:textId="1D87DB6C" w:rsidR="008A059F" w:rsidRPr="000C3DA5" w:rsidRDefault="008A059F" w:rsidP="008A059F">
            <w:pPr>
              <w:jc w:val="right"/>
              <w:rPr>
                <w:rFonts w:ascii="Calibri" w:eastAsia="Times New Roman" w:hAnsi="Calibri" w:cs="Calibri"/>
                <w:color w:val="000000"/>
                <w:lang w:eastAsia="en-GB"/>
              </w:rPr>
            </w:pPr>
            <w:r w:rsidRPr="000C3DA5">
              <w:rPr>
                <w:rFonts w:ascii="Calibri" w:hAnsi="Calibri" w:cs="Calibri"/>
                <w:b/>
                <w:bCs/>
                <w:color w:val="000000"/>
              </w:rPr>
              <w:t>15.1%</w:t>
            </w:r>
          </w:p>
        </w:tc>
        <w:tc>
          <w:tcPr>
            <w:tcW w:w="1059" w:type="dxa"/>
          </w:tcPr>
          <w:p w14:paraId="4B40DB79" w14:textId="3FA51D83" w:rsidR="008A059F" w:rsidRPr="000C3DA5" w:rsidRDefault="000C3DA5" w:rsidP="008A059F">
            <w:pPr>
              <w:jc w:val="right"/>
              <w:rPr>
                <w:rFonts w:ascii="Calibri" w:eastAsia="Times New Roman" w:hAnsi="Calibri" w:cs="Calibri"/>
                <w:color w:val="000000"/>
                <w:lang w:eastAsia="en-GB"/>
              </w:rPr>
            </w:pPr>
            <w:r w:rsidRPr="000C3DA5">
              <w:rPr>
                <w:rFonts w:ascii="Calibri" w:eastAsia="Times New Roman" w:hAnsi="Calibri" w:cs="Calibri"/>
                <w:color w:val="000000"/>
                <w:lang w:eastAsia="en-GB"/>
              </w:rPr>
              <w:t>17.9%</w:t>
            </w:r>
          </w:p>
        </w:tc>
      </w:tr>
      <w:tr w:rsidR="000C3DA5" w:rsidRPr="000575F3" w14:paraId="2118455C" w14:textId="77777777" w:rsidTr="008A059F">
        <w:trPr>
          <w:trHeight w:val="295"/>
        </w:trPr>
        <w:tc>
          <w:tcPr>
            <w:tcW w:w="3609" w:type="dxa"/>
            <w:noWrap/>
            <w:hideMark/>
          </w:tcPr>
          <w:p w14:paraId="6B9A0228" w14:textId="53F990BE" w:rsidR="000C3DA5" w:rsidRPr="000C3DA5" w:rsidRDefault="000C3DA5" w:rsidP="000C3DA5">
            <w:pPr>
              <w:rPr>
                <w:rFonts w:ascii="Calibri" w:eastAsia="Times New Roman" w:hAnsi="Calibri" w:cs="Calibri"/>
                <w:color w:val="000000"/>
                <w:lang w:eastAsia="en-GB"/>
              </w:rPr>
            </w:pPr>
            <w:r w:rsidRPr="000C3DA5">
              <w:rPr>
                <w:rFonts w:ascii="Calibri" w:eastAsia="Times New Roman" w:hAnsi="Calibri" w:cs="Calibri"/>
                <w:color w:val="000000"/>
                <w:lang w:eastAsia="en-GB"/>
              </w:rPr>
              <w:t>No religion</w:t>
            </w:r>
          </w:p>
        </w:tc>
        <w:tc>
          <w:tcPr>
            <w:tcW w:w="1076" w:type="dxa"/>
            <w:noWrap/>
          </w:tcPr>
          <w:p w14:paraId="0E51B7FD" w14:textId="30DD9768" w:rsidR="000C3DA5" w:rsidRPr="000C3DA5" w:rsidRDefault="000C3DA5" w:rsidP="000C3DA5">
            <w:pPr>
              <w:jc w:val="right"/>
              <w:rPr>
                <w:rFonts w:ascii="Calibri" w:eastAsia="Times New Roman" w:hAnsi="Calibri" w:cs="Calibri"/>
                <w:color w:val="000000"/>
                <w:lang w:eastAsia="en-GB"/>
              </w:rPr>
            </w:pPr>
            <w:r w:rsidRPr="000C3DA5">
              <w:t>12.7%</w:t>
            </w:r>
          </w:p>
        </w:tc>
        <w:tc>
          <w:tcPr>
            <w:tcW w:w="1076" w:type="dxa"/>
            <w:noWrap/>
          </w:tcPr>
          <w:p w14:paraId="700C1756" w14:textId="40065137" w:rsidR="000C3DA5" w:rsidRPr="000C3DA5" w:rsidRDefault="000C3DA5" w:rsidP="000C3DA5">
            <w:pPr>
              <w:jc w:val="right"/>
              <w:rPr>
                <w:rFonts w:ascii="Calibri" w:eastAsia="Times New Roman" w:hAnsi="Calibri" w:cs="Calibri"/>
                <w:color w:val="000000"/>
                <w:lang w:eastAsia="en-GB"/>
              </w:rPr>
            </w:pPr>
            <w:r w:rsidRPr="000C3DA5">
              <w:t>14.0%</w:t>
            </w:r>
          </w:p>
        </w:tc>
        <w:tc>
          <w:tcPr>
            <w:tcW w:w="1098" w:type="dxa"/>
            <w:noWrap/>
          </w:tcPr>
          <w:p w14:paraId="1AE82173" w14:textId="4D667C0D" w:rsidR="000C3DA5" w:rsidRPr="000C3DA5" w:rsidRDefault="000C3DA5" w:rsidP="000C3DA5">
            <w:pPr>
              <w:jc w:val="right"/>
              <w:rPr>
                <w:rFonts w:ascii="Calibri" w:eastAsia="Times New Roman" w:hAnsi="Calibri" w:cs="Calibri"/>
                <w:color w:val="000000"/>
                <w:lang w:eastAsia="en-GB"/>
              </w:rPr>
            </w:pPr>
            <w:r w:rsidRPr="000C3DA5">
              <w:t>15.5%</w:t>
            </w:r>
          </w:p>
        </w:tc>
        <w:tc>
          <w:tcPr>
            <w:tcW w:w="1098" w:type="dxa"/>
            <w:noWrap/>
          </w:tcPr>
          <w:p w14:paraId="5657FF22" w14:textId="6FB1ED17" w:rsidR="000C3DA5" w:rsidRPr="000C3DA5" w:rsidRDefault="000C3DA5" w:rsidP="000C3DA5">
            <w:pPr>
              <w:jc w:val="right"/>
              <w:rPr>
                <w:rFonts w:ascii="Calibri" w:eastAsia="Times New Roman" w:hAnsi="Calibri" w:cs="Calibri"/>
                <w:color w:val="000000"/>
                <w:lang w:eastAsia="en-GB"/>
              </w:rPr>
            </w:pPr>
            <w:r w:rsidRPr="000C3DA5">
              <w:t>17.1%</w:t>
            </w:r>
          </w:p>
        </w:tc>
        <w:tc>
          <w:tcPr>
            <w:tcW w:w="1059" w:type="dxa"/>
          </w:tcPr>
          <w:p w14:paraId="08E3AAB3" w14:textId="7BFB6D3F" w:rsidR="000C3DA5" w:rsidRPr="000C3DA5" w:rsidRDefault="000C3DA5" w:rsidP="000C3DA5">
            <w:pPr>
              <w:jc w:val="right"/>
              <w:rPr>
                <w:rFonts w:ascii="Calibri" w:eastAsia="Times New Roman" w:hAnsi="Calibri" w:cs="Calibri"/>
                <w:color w:val="000000"/>
                <w:lang w:eastAsia="en-GB"/>
              </w:rPr>
            </w:pPr>
            <w:r w:rsidRPr="000C3DA5">
              <w:rPr>
                <w:rFonts w:ascii="Calibri" w:eastAsia="Times New Roman" w:hAnsi="Calibri" w:cs="Calibri"/>
                <w:color w:val="000000"/>
                <w:lang w:eastAsia="en-GB"/>
              </w:rPr>
              <w:t>19.4%</w:t>
            </w:r>
          </w:p>
        </w:tc>
      </w:tr>
      <w:tr w:rsidR="000C3DA5" w:rsidRPr="000575F3" w14:paraId="283B904B" w14:textId="77777777" w:rsidTr="008A059F">
        <w:trPr>
          <w:trHeight w:val="295"/>
        </w:trPr>
        <w:tc>
          <w:tcPr>
            <w:tcW w:w="3609" w:type="dxa"/>
            <w:noWrap/>
            <w:hideMark/>
          </w:tcPr>
          <w:p w14:paraId="3B2993F8" w14:textId="19967FEE" w:rsidR="000C3DA5" w:rsidRPr="000C3DA5" w:rsidRDefault="000C3DA5" w:rsidP="000C3DA5">
            <w:pPr>
              <w:rPr>
                <w:rFonts w:ascii="Calibri" w:eastAsia="Times New Roman" w:hAnsi="Calibri" w:cs="Calibri"/>
                <w:color w:val="000000"/>
                <w:lang w:eastAsia="en-GB"/>
              </w:rPr>
            </w:pPr>
            <w:r w:rsidRPr="000C3DA5">
              <w:rPr>
                <w:rFonts w:ascii="Calibri" w:eastAsia="Times New Roman" w:hAnsi="Calibri" w:cs="Calibri"/>
                <w:color w:val="000000"/>
                <w:lang w:eastAsia="en-GB"/>
              </w:rPr>
              <w:t>Prefer not to say</w:t>
            </w:r>
          </w:p>
        </w:tc>
        <w:tc>
          <w:tcPr>
            <w:tcW w:w="1076" w:type="dxa"/>
            <w:noWrap/>
          </w:tcPr>
          <w:p w14:paraId="451E57C0" w14:textId="44F11A2E" w:rsidR="000C3DA5" w:rsidRPr="000C3DA5" w:rsidRDefault="000C3DA5" w:rsidP="000C3DA5">
            <w:pPr>
              <w:jc w:val="right"/>
              <w:rPr>
                <w:rFonts w:ascii="Calibri" w:eastAsia="Times New Roman" w:hAnsi="Calibri" w:cs="Calibri"/>
                <w:color w:val="000000"/>
                <w:lang w:eastAsia="en-GB"/>
              </w:rPr>
            </w:pPr>
            <w:r w:rsidRPr="000C3DA5">
              <w:t>1.9%</w:t>
            </w:r>
          </w:p>
        </w:tc>
        <w:tc>
          <w:tcPr>
            <w:tcW w:w="1076" w:type="dxa"/>
            <w:noWrap/>
          </w:tcPr>
          <w:p w14:paraId="3819459B" w14:textId="7086235C" w:rsidR="000C3DA5" w:rsidRPr="000C3DA5" w:rsidRDefault="000C3DA5" w:rsidP="000C3DA5">
            <w:pPr>
              <w:jc w:val="right"/>
              <w:rPr>
                <w:rFonts w:ascii="Calibri" w:eastAsia="Times New Roman" w:hAnsi="Calibri" w:cs="Calibri"/>
                <w:color w:val="000000"/>
                <w:lang w:eastAsia="en-GB"/>
              </w:rPr>
            </w:pPr>
            <w:r w:rsidRPr="000C3DA5">
              <w:t>2.0%</w:t>
            </w:r>
          </w:p>
        </w:tc>
        <w:tc>
          <w:tcPr>
            <w:tcW w:w="1098" w:type="dxa"/>
            <w:noWrap/>
          </w:tcPr>
          <w:p w14:paraId="3C901184" w14:textId="650779A7" w:rsidR="000C3DA5" w:rsidRPr="000C3DA5" w:rsidRDefault="000C3DA5" w:rsidP="000C3DA5">
            <w:pPr>
              <w:jc w:val="right"/>
              <w:rPr>
                <w:rFonts w:ascii="Calibri" w:eastAsia="Times New Roman" w:hAnsi="Calibri" w:cs="Calibri"/>
                <w:color w:val="000000"/>
                <w:lang w:eastAsia="en-GB"/>
              </w:rPr>
            </w:pPr>
            <w:r w:rsidRPr="000C3DA5">
              <w:t>2.4%</w:t>
            </w:r>
          </w:p>
        </w:tc>
        <w:tc>
          <w:tcPr>
            <w:tcW w:w="1098" w:type="dxa"/>
            <w:noWrap/>
          </w:tcPr>
          <w:p w14:paraId="7DFCD65B" w14:textId="6AD2F7F9" w:rsidR="000C3DA5" w:rsidRPr="000C3DA5" w:rsidRDefault="000C3DA5" w:rsidP="000C3DA5">
            <w:pPr>
              <w:jc w:val="right"/>
              <w:rPr>
                <w:rFonts w:ascii="Calibri" w:eastAsia="Times New Roman" w:hAnsi="Calibri" w:cs="Calibri"/>
                <w:color w:val="000000"/>
                <w:lang w:eastAsia="en-GB"/>
              </w:rPr>
            </w:pPr>
            <w:r w:rsidRPr="000C3DA5">
              <w:t>3.3%</w:t>
            </w:r>
          </w:p>
        </w:tc>
        <w:tc>
          <w:tcPr>
            <w:tcW w:w="1059" w:type="dxa"/>
          </w:tcPr>
          <w:p w14:paraId="67B8665B" w14:textId="4AFE89B0" w:rsidR="000C3DA5" w:rsidRPr="000C3DA5" w:rsidRDefault="000C3DA5" w:rsidP="000C3DA5">
            <w:pPr>
              <w:jc w:val="right"/>
              <w:rPr>
                <w:rFonts w:ascii="Calibri" w:eastAsia="Times New Roman" w:hAnsi="Calibri" w:cs="Calibri"/>
                <w:color w:val="000000"/>
                <w:lang w:eastAsia="en-GB"/>
              </w:rPr>
            </w:pPr>
            <w:r w:rsidRPr="000C3DA5">
              <w:rPr>
                <w:rFonts w:ascii="Calibri" w:eastAsia="Times New Roman" w:hAnsi="Calibri" w:cs="Calibri"/>
                <w:color w:val="000000"/>
                <w:lang w:eastAsia="en-GB"/>
              </w:rPr>
              <w:t>4.8%</w:t>
            </w:r>
          </w:p>
        </w:tc>
      </w:tr>
      <w:tr w:rsidR="000C3DA5" w:rsidRPr="000575F3" w14:paraId="6C182EBC" w14:textId="77777777" w:rsidTr="008A059F">
        <w:trPr>
          <w:trHeight w:val="295"/>
        </w:trPr>
        <w:tc>
          <w:tcPr>
            <w:tcW w:w="3609" w:type="dxa"/>
            <w:noWrap/>
            <w:hideMark/>
          </w:tcPr>
          <w:p w14:paraId="101B61EB" w14:textId="08C30813" w:rsidR="000C3DA5" w:rsidRPr="000575F3" w:rsidRDefault="000C3DA5" w:rsidP="000C3DA5">
            <w:pPr>
              <w:rPr>
                <w:rFonts w:ascii="Calibri" w:eastAsia="Times New Roman" w:hAnsi="Calibri" w:cs="Calibri"/>
                <w:color w:val="000000"/>
                <w:highlight w:val="yellow"/>
                <w:lang w:eastAsia="en-GB"/>
              </w:rPr>
            </w:pPr>
            <w:r w:rsidRPr="000C3DA5">
              <w:rPr>
                <w:rFonts w:ascii="Calibri" w:eastAsia="Times New Roman" w:hAnsi="Calibri" w:cs="Calibri"/>
                <w:color w:val="000000"/>
                <w:lang w:eastAsia="en-GB"/>
              </w:rPr>
              <w:lastRenderedPageBreak/>
              <w:t>No response provided</w:t>
            </w:r>
          </w:p>
        </w:tc>
        <w:tc>
          <w:tcPr>
            <w:tcW w:w="1076" w:type="dxa"/>
            <w:noWrap/>
          </w:tcPr>
          <w:p w14:paraId="05883197" w14:textId="352F4B71" w:rsidR="000C3DA5" w:rsidRPr="000575F3" w:rsidRDefault="000C3DA5" w:rsidP="000C3DA5">
            <w:pPr>
              <w:jc w:val="right"/>
              <w:rPr>
                <w:rFonts w:ascii="Calibri" w:eastAsia="Times New Roman" w:hAnsi="Calibri" w:cs="Calibri"/>
                <w:color w:val="000000"/>
                <w:highlight w:val="yellow"/>
                <w:lang w:eastAsia="en-GB"/>
              </w:rPr>
            </w:pPr>
            <w:r w:rsidRPr="00E86964">
              <w:t>72.9%</w:t>
            </w:r>
          </w:p>
        </w:tc>
        <w:tc>
          <w:tcPr>
            <w:tcW w:w="1076" w:type="dxa"/>
            <w:noWrap/>
          </w:tcPr>
          <w:p w14:paraId="54E330B1" w14:textId="726E008B" w:rsidR="000C3DA5" w:rsidRPr="000575F3" w:rsidRDefault="000C3DA5" w:rsidP="000C3DA5">
            <w:pPr>
              <w:jc w:val="right"/>
              <w:rPr>
                <w:rFonts w:ascii="Calibri" w:eastAsia="Times New Roman" w:hAnsi="Calibri" w:cs="Calibri"/>
                <w:color w:val="000000"/>
                <w:highlight w:val="yellow"/>
                <w:lang w:eastAsia="en-GB"/>
              </w:rPr>
            </w:pPr>
            <w:r w:rsidRPr="00E86964">
              <w:t>71.2%</w:t>
            </w:r>
          </w:p>
        </w:tc>
        <w:tc>
          <w:tcPr>
            <w:tcW w:w="1098" w:type="dxa"/>
            <w:noWrap/>
          </w:tcPr>
          <w:p w14:paraId="2ACFD10A" w14:textId="0117D42E" w:rsidR="000C3DA5" w:rsidRPr="000575F3" w:rsidRDefault="000C3DA5" w:rsidP="000C3DA5">
            <w:pPr>
              <w:jc w:val="right"/>
              <w:rPr>
                <w:rFonts w:ascii="Calibri" w:eastAsia="Times New Roman" w:hAnsi="Calibri" w:cs="Calibri"/>
                <w:color w:val="000000"/>
                <w:highlight w:val="yellow"/>
                <w:lang w:eastAsia="en-GB"/>
              </w:rPr>
            </w:pPr>
            <w:r w:rsidRPr="00E86964">
              <w:t>68.8%</w:t>
            </w:r>
          </w:p>
        </w:tc>
        <w:tc>
          <w:tcPr>
            <w:tcW w:w="1098" w:type="dxa"/>
            <w:noWrap/>
          </w:tcPr>
          <w:p w14:paraId="01934534" w14:textId="0A33899C" w:rsidR="000C3DA5" w:rsidRPr="000575F3" w:rsidRDefault="000C3DA5" w:rsidP="000C3DA5">
            <w:pPr>
              <w:jc w:val="right"/>
              <w:rPr>
                <w:rFonts w:ascii="Calibri" w:eastAsia="Times New Roman" w:hAnsi="Calibri" w:cs="Calibri"/>
                <w:color w:val="000000"/>
                <w:highlight w:val="yellow"/>
                <w:lang w:eastAsia="en-GB"/>
              </w:rPr>
            </w:pPr>
            <w:r w:rsidRPr="00E86964">
              <w:t>64.5%</w:t>
            </w:r>
          </w:p>
        </w:tc>
        <w:tc>
          <w:tcPr>
            <w:tcW w:w="1059" w:type="dxa"/>
          </w:tcPr>
          <w:p w14:paraId="09D283D5" w14:textId="15B55DA5" w:rsidR="000C3DA5" w:rsidRPr="000575F3" w:rsidRDefault="000C3DA5" w:rsidP="000C3DA5">
            <w:pPr>
              <w:jc w:val="right"/>
              <w:rPr>
                <w:rFonts w:ascii="Calibri" w:eastAsia="Times New Roman" w:hAnsi="Calibri" w:cs="Calibri"/>
                <w:color w:val="000000"/>
                <w:highlight w:val="yellow"/>
                <w:lang w:eastAsia="en-GB"/>
              </w:rPr>
            </w:pPr>
            <w:r w:rsidRPr="000C3DA5">
              <w:rPr>
                <w:rFonts w:ascii="Calibri" w:eastAsia="Times New Roman" w:hAnsi="Calibri" w:cs="Calibri"/>
                <w:color w:val="000000"/>
                <w:lang w:eastAsia="en-GB"/>
              </w:rPr>
              <w:t>57.9%</w:t>
            </w:r>
          </w:p>
        </w:tc>
      </w:tr>
    </w:tbl>
    <w:p w14:paraId="13D166AE" w14:textId="77777777" w:rsidR="000C3DA5" w:rsidRDefault="000C3DA5" w:rsidP="000575F3">
      <w:pPr>
        <w:rPr>
          <w:b/>
          <w:bCs/>
        </w:rPr>
      </w:pPr>
    </w:p>
    <w:p w14:paraId="06599844" w14:textId="4004D0F7" w:rsidR="00507071" w:rsidRPr="00507071" w:rsidRDefault="008A059F" w:rsidP="000575F3">
      <w:pPr>
        <w:rPr>
          <w:rFonts w:ascii="Calibri" w:eastAsia="Times New Roman" w:hAnsi="Calibri" w:cs="Calibri"/>
          <w:color w:val="000000"/>
          <w:lang w:eastAsia="en-GB"/>
        </w:rPr>
      </w:pPr>
      <w:r w:rsidRPr="000575F3">
        <w:rPr>
          <w:rFonts w:ascii="Calibri" w:eastAsia="Times New Roman" w:hAnsi="Calibri" w:cs="Calibri"/>
          <w:b/>
          <w:bCs/>
          <w:color w:val="000000"/>
          <w:lang w:eastAsia="en-GB"/>
        </w:rPr>
        <w:t>Table</w:t>
      </w:r>
      <w:r>
        <w:rPr>
          <w:rFonts w:ascii="Calibri" w:eastAsia="Times New Roman" w:hAnsi="Calibri" w:cs="Calibri"/>
          <w:b/>
          <w:bCs/>
          <w:color w:val="000000"/>
          <w:lang w:eastAsia="en-GB"/>
        </w:rPr>
        <w:t>: Religions only, 2022.</w:t>
      </w:r>
    </w:p>
    <w:tbl>
      <w:tblPr>
        <w:tblStyle w:val="TableGrid"/>
        <w:tblW w:w="4668" w:type="dxa"/>
        <w:tblLook w:val="04A0" w:firstRow="1" w:lastRow="0" w:firstColumn="1" w:lastColumn="0" w:noHBand="0" w:noVBand="1"/>
      </w:tblPr>
      <w:tblGrid>
        <w:gridCol w:w="3609"/>
        <w:gridCol w:w="1059"/>
      </w:tblGrid>
      <w:tr w:rsidR="000C3DA5" w:rsidRPr="000575F3" w14:paraId="786577B2" w14:textId="16EE1277" w:rsidTr="000C3DA5">
        <w:trPr>
          <w:trHeight w:val="306"/>
        </w:trPr>
        <w:tc>
          <w:tcPr>
            <w:tcW w:w="3609" w:type="dxa"/>
            <w:noWrap/>
            <w:hideMark/>
          </w:tcPr>
          <w:p w14:paraId="3105BAC4" w14:textId="18835151" w:rsidR="000C3DA5" w:rsidRPr="000C3DA5" w:rsidRDefault="000C3DA5" w:rsidP="00451BAE">
            <w:pPr>
              <w:rPr>
                <w:rFonts w:ascii="Calibri" w:eastAsia="Times New Roman" w:hAnsi="Calibri" w:cs="Calibri"/>
                <w:b/>
                <w:bCs/>
                <w:color w:val="000000"/>
                <w:lang w:eastAsia="en-GB"/>
              </w:rPr>
            </w:pPr>
            <w:r w:rsidRPr="000C3DA5">
              <w:rPr>
                <w:rFonts w:ascii="Calibri" w:eastAsia="Times New Roman" w:hAnsi="Calibri" w:cs="Calibri"/>
                <w:b/>
                <w:bCs/>
                <w:color w:val="000000"/>
                <w:lang w:eastAsia="en-GB"/>
              </w:rPr>
              <w:t>Religion</w:t>
            </w:r>
          </w:p>
        </w:tc>
        <w:tc>
          <w:tcPr>
            <w:tcW w:w="1059" w:type="dxa"/>
          </w:tcPr>
          <w:p w14:paraId="46472BCF" w14:textId="2244301C" w:rsidR="000C3DA5" w:rsidRPr="000C3DA5" w:rsidRDefault="000C3DA5" w:rsidP="00451BAE">
            <w:pPr>
              <w:rPr>
                <w:rFonts w:ascii="Calibri" w:eastAsia="Times New Roman" w:hAnsi="Calibri" w:cs="Calibri"/>
                <w:b/>
                <w:bCs/>
                <w:color w:val="000000"/>
                <w:lang w:eastAsia="en-GB"/>
              </w:rPr>
            </w:pPr>
            <w:r w:rsidRPr="000C3DA5">
              <w:rPr>
                <w:rFonts w:ascii="Calibri" w:eastAsia="Times New Roman" w:hAnsi="Calibri" w:cs="Calibri"/>
                <w:b/>
                <w:bCs/>
                <w:color w:val="000000"/>
                <w:lang w:eastAsia="en-GB"/>
              </w:rPr>
              <w:t>2022</w:t>
            </w:r>
          </w:p>
        </w:tc>
      </w:tr>
      <w:tr w:rsidR="000C3DA5" w:rsidRPr="000575F3" w14:paraId="2A519529" w14:textId="7439F50F" w:rsidTr="000C3DA5">
        <w:trPr>
          <w:trHeight w:val="295"/>
        </w:trPr>
        <w:tc>
          <w:tcPr>
            <w:tcW w:w="3609" w:type="dxa"/>
            <w:noWrap/>
            <w:hideMark/>
          </w:tcPr>
          <w:p w14:paraId="7A7FE20E" w14:textId="77777777" w:rsidR="000C3DA5" w:rsidRPr="000C3DA5" w:rsidRDefault="000C3DA5" w:rsidP="00451BAE">
            <w:pPr>
              <w:rPr>
                <w:rFonts w:ascii="Calibri" w:eastAsia="Times New Roman" w:hAnsi="Calibri" w:cs="Calibri"/>
                <w:color w:val="000000"/>
                <w:lang w:eastAsia="en-GB"/>
              </w:rPr>
            </w:pPr>
            <w:r w:rsidRPr="000C3DA5">
              <w:rPr>
                <w:rFonts w:ascii="Calibri" w:eastAsia="Times New Roman" w:hAnsi="Calibri" w:cs="Calibri"/>
                <w:color w:val="000000"/>
                <w:lang w:eastAsia="en-GB"/>
              </w:rPr>
              <w:t>Buddhist</w:t>
            </w:r>
          </w:p>
        </w:tc>
        <w:tc>
          <w:tcPr>
            <w:tcW w:w="1059" w:type="dxa"/>
          </w:tcPr>
          <w:p w14:paraId="6E7B3C14" w14:textId="3684E75F" w:rsidR="000C3DA5" w:rsidRPr="000C3DA5" w:rsidRDefault="000C3DA5" w:rsidP="00451BAE">
            <w:pPr>
              <w:jc w:val="right"/>
              <w:rPr>
                <w:rFonts w:ascii="Calibri" w:eastAsia="Times New Roman" w:hAnsi="Calibri" w:cs="Calibri"/>
                <w:color w:val="000000"/>
                <w:lang w:eastAsia="en-GB"/>
              </w:rPr>
            </w:pPr>
            <w:r w:rsidRPr="000C3DA5">
              <w:rPr>
                <w:rFonts w:ascii="Calibri" w:eastAsia="Times New Roman" w:hAnsi="Calibri" w:cs="Calibri"/>
                <w:color w:val="000000"/>
                <w:lang w:eastAsia="en-GB"/>
              </w:rPr>
              <w:t>2.0%</w:t>
            </w:r>
          </w:p>
        </w:tc>
      </w:tr>
      <w:tr w:rsidR="000C3DA5" w:rsidRPr="000575F3" w14:paraId="5A91E0F0" w14:textId="08BCC062" w:rsidTr="000C3DA5">
        <w:trPr>
          <w:trHeight w:val="295"/>
        </w:trPr>
        <w:tc>
          <w:tcPr>
            <w:tcW w:w="3609" w:type="dxa"/>
            <w:noWrap/>
            <w:hideMark/>
          </w:tcPr>
          <w:p w14:paraId="16D40BCE" w14:textId="77777777" w:rsidR="000C3DA5" w:rsidRPr="000C3DA5" w:rsidRDefault="000C3DA5" w:rsidP="00451BAE">
            <w:pPr>
              <w:rPr>
                <w:rFonts w:ascii="Calibri" w:eastAsia="Times New Roman" w:hAnsi="Calibri" w:cs="Calibri"/>
                <w:color w:val="000000"/>
                <w:lang w:eastAsia="en-GB"/>
              </w:rPr>
            </w:pPr>
            <w:r w:rsidRPr="000C3DA5">
              <w:rPr>
                <w:rFonts w:ascii="Calibri" w:eastAsia="Times New Roman" w:hAnsi="Calibri" w:cs="Calibri"/>
                <w:color w:val="000000"/>
                <w:lang w:eastAsia="en-GB"/>
              </w:rPr>
              <w:t>Christian</w:t>
            </w:r>
          </w:p>
        </w:tc>
        <w:tc>
          <w:tcPr>
            <w:tcW w:w="1059" w:type="dxa"/>
          </w:tcPr>
          <w:p w14:paraId="4C2D1F7B" w14:textId="5E25E28A" w:rsidR="000C3DA5" w:rsidRPr="000C3DA5" w:rsidRDefault="000C3DA5" w:rsidP="00451BAE">
            <w:pPr>
              <w:jc w:val="right"/>
              <w:rPr>
                <w:rFonts w:ascii="Calibri" w:eastAsia="Times New Roman" w:hAnsi="Calibri" w:cs="Calibri"/>
                <w:color w:val="000000"/>
                <w:lang w:eastAsia="en-GB"/>
              </w:rPr>
            </w:pPr>
            <w:r w:rsidRPr="000C3DA5">
              <w:rPr>
                <w:rFonts w:ascii="Calibri" w:eastAsia="Times New Roman" w:hAnsi="Calibri" w:cs="Calibri"/>
                <w:color w:val="000000"/>
                <w:lang w:eastAsia="en-GB"/>
              </w:rPr>
              <w:t>74.9%</w:t>
            </w:r>
          </w:p>
        </w:tc>
      </w:tr>
      <w:tr w:rsidR="000C3DA5" w:rsidRPr="000575F3" w14:paraId="43019F21" w14:textId="7A1D8E24" w:rsidTr="000C3DA5">
        <w:trPr>
          <w:trHeight w:val="295"/>
        </w:trPr>
        <w:tc>
          <w:tcPr>
            <w:tcW w:w="3609" w:type="dxa"/>
            <w:noWrap/>
            <w:hideMark/>
          </w:tcPr>
          <w:p w14:paraId="296F3885" w14:textId="77777777" w:rsidR="000C3DA5" w:rsidRPr="000C3DA5" w:rsidRDefault="000C3DA5" w:rsidP="00451BAE">
            <w:pPr>
              <w:rPr>
                <w:rFonts w:ascii="Calibri" w:eastAsia="Times New Roman" w:hAnsi="Calibri" w:cs="Calibri"/>
                <w:color w:val="000000"/>
                <w:lang w:eastAsia="en-GB"/>
              </w:rPr>
            </w:pPr>
            <w:r w:rsidRPr="000C3DA5">
              <w:rPr>
                <w:rFonts w:ascii="Calibri" w:eastAsia="Times New Roman" w:hAnsi="Calibri" w:cs="Calibri"/>
                <w:color w:val="000000"/>
                <w:lang w:eastAsia="en-GB"/>
              </w:rPr>
              <w:t>Hindu</w:t>
            </w:r>
          </w:p>
        </w:tc>
        <w:tc>
          <w:tcPr>
            <w:tcW w:w="1059" w:type="dxa"/>
          </w:tcPr>
          <w:p w14:paraId="5AE300D3" w14:textId="27ED212C" w:rsidR="000C3DA5" w:rsidRPr="000C3DA5" w:rsidRDefault="000C3DA5" w:rsidP="00451BAE">
            <w:pPr>
              <w:jc w:val="right"/>
              <w:rPr>
                <w:rFonts w:ascii="Calibri" w:eastAsia="Times New Roman" w:hAnsi="Calibri" w:cs="Calibri"/>
                <w:color w:val="000000"/>
                <w:lang w:eastAsia="en-GB"/>
              </w:rPr>
            </w:pPr>
            <w:r w:rsidRPr="000C3DA5">
              <w:rPr>
                <w:rFonts w:ascii="Calibri" w:eastAsia="Times New Roman" w:hAnsi="Calibri" w:cs="Calibri"/>
                <w:color w:val="000000"/>
                <w:lang w:eastAsia="en-GB"/>
              </w:rPr>
              <w:t>3.2%</w:t>
            </w:r>
          </w:p>
        </w:tc>
      </w:tr>
      <w:tr w:rsidR="000C3DA5" w:rsidRPr="000575F3" w14:paraId="718AC216" w14:textId="51A38155" w:rsidTr="000C3DA5">
        <w:trPr>
          <w:trHeight w:val="295"/>
        </w:trPr>
        <w:tc>
          <w:tcPr>
            <w:tcW w:w="3609" w:type="dxa"/>
            <w:noWrap/>
            <w:hideMark/>
          </w:tcPr>
          <w:p w14:paraId="30429160" w14:textId="77777777" w:rsidR="000C3DA5" w:rsidRPr="000C3DA5" w:rsidRDefault="000C3DA5" w:rsidP="00451BAE">
            <w:pPr>
              <w:rPr>
                <w:rFonts w:ascii="Calibri" w:eastAsia="Times New Roman" w:hAnsi="Calibri" w:cs="Calibri"/>
                <w:color w:val="000000"/>
                <w:lang w:eastAsia="en-GB"/>
              </w:rPr>
            </w:pPr>
            <w:r w:rsidRPr="000C3DA5">
              <w:rPr>
                <w:rFonts w:ascii="Calibri" w:eastAsia="Times New Roman" w:hAnsi="Calibri" w:cs="Calibri"/>
                <w:color w:val="000000"/>
                <w:lang w:eastAsia="en-GB"/>
              </w:rPr>
              <w:t>Jewish</w:t>
            </w:r>
          </w:p>
        </w:tc>
        <w:tc>
          <w:tcPr>
            <w:tcW w:w="1059" w:type="dxa"/>
          </w:tcPr>
          <w:p w14:paraId="08A57C30" w14:textId="173785D0" w:rsidR="000C3DA5" w:rsidRPr="000C3DA5" w:rsidRDefault="000C3DA5" w:rsidP="00451BAE">
            <w:pPr>
              <w:jc w:val="right"/>
              <w:rPr>
                <w:rFonts w:ascii="Calibri" w:eastAsia="Times New Roman" w:hAnsi="Calibri" w:cs="Calibri"/>
                <w:color w:val="000000"/>
                <w:lang w:eastAsia="en-GB"/>
              </w:rPr>
            </w:pPr>
            <w:r w:rsidRPr="000C3DA5">
              <w:rPr>
                <w:rFonts w:ascii="Calibri" w:eastAsia="Times New Roman" w:hAnsi="Calibri" w:cs="Calibri"/>
                <w:color w:val="000000"/>
                <w:lang w:eastAsia="en-GB"/>
              </w:rPr>
              <w:t>…%</w:t>
            </w:r>
          </w:p>
        </w:tc>
      </w:tr>
      <w:tr w:rsidR="000C3DA5" w:rsidRPr="000575F3" w14:paraId="678873F6" w14:textId="4F99FCE7" w:rsidTr="000C3DA5">
        <w:trPr>
          <w:trHeight w:val="295"/>
        </w:trPr>
        <w:tc>
          <w:tcPr>
            <w:tcW w:w="3609" w:type="dxa"/>
            <w:noWrap/>
            <w:hideMark/>
          </w:tcPr>
          <w:p w14:paraId="7344C033" w14:textId="77777777" w:rsidR="000C3DA5" w:rsidRPr="000C3DA5" w:rsidRDefault="000C3DA5" w:rsidP="00451BAE">
            <w:pPr>
              <w:rPr>
                <w:rFonts w:ascii="Calibri" w:eastAsia="Times New Roman" w:hAnsi="Calibri" w:cs="Calibri"/>
                <w:color w:val="000000"/>
                <w:lang w:eastAsia="en-GB"/>
              </w:rPr>
            </w:pPr>
            <w:r w:rsidRPr="000C3DA5">
              <w:rPr>
                <w:rFonts w:ascii="Calibri" w:eastAsia="Times New Roman" w:hAnsi="Calibri" w:cs="Calibri"/>
                <w:color w:val="000000"/>
                <w:lang w:eastAsia="en-GB"/>
              </w:rPr>
              <w:t>Muslim</w:t>
            </w:r>
          </w:p>
        </w:tc>
        <w:tc>
          <w:tcPr>
            <w:tcW w:w="1059" w:type="dxa"/>
          </w:tcPr>
          <w:p w14:paraId="6187FDFC" w14:textId="5BE66C19" w:rsidR="000C3DA5" w:rsidRPr="000C3DA5" w:rsidRDefault="000C3DA5" w:rsidP="00451BAE">
            <w:pPr>
              <w:jc w:val="right"/>
              <w:rPr>
                <w:rFonts w:ascii="Calibri" w:eastAsia="Times New Roman" w:hAnsi="Calibri" w:cs="Calibri"/>
                <w:color w:val="000000"/>
                <w:lang w:eastAsia="en-GB"/>
              </w:rPr>
            </w:pPr>
            <w:r w:rsidRPr="000C3DA5">
              <w:rPr>
                <w:rFonts w:ascii="Calibri" w:eastAsia="Times New Roman" w:hAnsi="Calibri" w:cs="Calibri"/>
                <w:color w:val="000000"/>
                <w:lang w:eastAsia="en-GB"/>
              </w:rPr>
              <w:t>2.4%</w:t>
            </w:r>
          </w:p>
        </w:tc>
      </w:tr>
      <w:tr w:rsidR="000C3DA5" w:rsidRPr="000575F3" w14:paraId="003072D3" w14:textId="3927A51B" w:rsidTr="000C3DA5">
        <w:trPr>
          <w:trHeight w:val="295"/>
        </w:trPr>
        <w:tc>
          <w:tcPr>
            <w:tcW w:w="3609" w:type="dxa"/>
            <w:noWrap/>
            <w:hideMark/>
          </w:tcPr>
          <w:p w14:paraId="78D59D00" w14:textId="77777777" w:rsidR="000C3DA5" w:rsidRPr="000C3DA5" w:rsidRDefault="000C3DA5" w:rsidP="00451BAE">
            <w:pPr>
              <w:rPr>
                <w:rFonts w:ascii="Calibri" w:eastAsia="Times New Roman" w:hAnsi="Calibri" w:cs="Calibri"/>
                <w:color w:val="000000"/>
                <w:lang w:eastAsia="en-GB"/>
              </w:rPr>
            </w:pPr>
            <w:r w:rsidRPr="000C3DA5">
              <w:rPr>
                <w:rFonts w:ascii="Calibri" w:eastAsia="Times New Roman" w:hAnsi="Calibri" w:cs="Calibri"/>
                <w:color w:val="000000"/>
                <w:lang w:eastAsia="en-GB"/>
              </w:rPr>
              <w:t>Sikh</w:t>
            </w:r>
          </w:p>
        </w:tc>
        <w:tc>
          <w:tcPr>
            <w:tcW w:w="1059" w:type="dxa"/>
          </w:tcPr>
          <w:p w14:paraId="40F5E09D" w14:textId="3550E38C" w:rsidR="000C3DA5" w:rsidRPr="000C3DA5" w:rsidRDefault="000C3DA5" w:rsidP="00451BAE">
            <w:pPr>
              <w:jc w:val="right"/>
              <w:rPr>
                <w:rFonts w:ascii="Calibri" w:eastAsia="Times New Roman" w:hAnsi="Calibri" w:cs="Calibri"/>
                <w:color w:val="000000"/>
                <w:lang w:eastAsia="en-GB"/>
              </w:rPr>
            </w:pPr>
            <w:r w:rsidRPr="000C3DA5">
              <w:rPr>
                <w:rFonts w:ascii="Calibri" w:eastAsia="Times New Roman" w:hAnsi="Calibri" w:cs="Calibri"/>
                <w:color w:val="000000"/>
                <w:lang w:eastAsia="en-GB"/>
              </w:rPr>
              <w:t>…%</w:t>
            </w:r>
          </w:p>
        </w:tc>
      </w:tr>
      <w:tr w:rsidR="000C3DA5" w:rsidRPr="000575F3" w14:paraId="0A80B08F" w14:textId="33B6BEC7" w:rsidTr="000C3DA5">
        <w:trPr>
          <w:trHeight w:val="295"/>
        </w:trPr>
        <w:tc>
          <w:tcPr>
            <w:tcW w:w="3609" w:type="dxa"/>
            <w:noWrap/>
            <w:hideMark/>
          </w:tcPr>
          <w:p w14:paraId="5DB1C245" w14:textId="77777777" w:rsidR="000C3DA5" w:rsidRPr="000C3DA5" w:rsidRDefault="000C3DA5" w:rsidP="00451BAE">
            <w:pPr>
              <w:rPr>
                <w:rFonts w:ascii="Calibri" w:eastAsia="Times New Roman" w:hAnsi="Calibri" w:cs="Calibri"/>
                <w:color w:val="000000"/>
                <w:lang w:eastAsia="en-GB"/>
              </w:rPr>
            </w:pPr>
            <w:r w:rsidRPr="000C3DA5">
              <w:rPr>
                <w:rFonts w:ascii="Calibri" w:eastAsia="Times New Roman" w:hAnsi="Calibri" w:cs="Calibri"/>
                <w:color w:val="000000"/>
                <w:lang w:eastAsia="en-GB"/>
              </w:rPr>
              <w:t>Spiritual</w:t>
            </w:r>
          </w:p>
        </w:tc>
        <w:tc>
          <w:tcPr>
            <w:tcW w:w="1059" w:type="dxa"/>
          </w:tcPr>
          <w:p w14:paraId="04C1A6AC" w14:textId="2EAAA09E" w:rsidR="000C3DA5" w:rsidRPr="000C3DA5" w:rsidRDefault="000C3DA5" w:rsidP="00451BAE">
            <w:pPr>
              <w:jc w:val="right"/>
              <w:rPr>
                <w:rFonts w:ascii="Calibri" w:eastAsia="Times New Roman" w:hAnsi="Calibri" w:cs="Calibri"/>
                <w:color w:val="000000"/>
                <w:lang w:eastAsia="en-GB"/>
              </w:rPr>
            </w:pPr>
            <w:r w:rsidRPr="000C3DA5">
              <w:rPr>
                <w:rFonts w:ascii="Calibri" w:eastAsia="Times New Roman" w:hAnsi="Calibri" w:cs="Calibri"/>
                <w:color w:val="000000"/>
                <w:lang w:eastAsia="en-GB"/>
              </w:rPr>
              <w:t>3.1%</w:t>
            </w:r>
          </w:p>
        </w:tc>
      </w:tr>
      <w:tr w:rsidR="000C3DA5" w:rsidRPr="000575F3" w14:paraId="09208A03" w14:textId="77777777" w:rsidTr="000C3DA5">
        <w:trPr>
          <w:trHeight w:val="295"/>
        </w:trPr>
        <w:tc>
          <w:tcPr>
            <w:tcW w:w="3609" w:type="dxa"/>
            <w:noWrap/>
            <w:hideMark/>
          </w:tcPr>
          <w:p w14:paraId="68DFEB2B" w14:textId="6CD3808C" w:rsidR="000C3DA5" w:rsidRPr="000C3DA5" w:rsidRDefault="000C3DA5" w:rsidP="00D65B29">
            <w:pPr>
              <w:rPr>
                <w:rFonts w:ascii="Calibri" w:eastAsia="Times New Roman" w:hAnsi="Calibri" w:cs="Calibri"/>
                <w:color w:val="000000"/>
                <w:lang w:eastAsia="en-GB"/>
              </w:rPr>
            </w:pPr>
            <w:r w:rsidRPr="000C3DA5">
              <w:rPr>
                <w:rFonts w:ascii="Calibri" w:eastAsia="Times New Roman" w:hAnsi="Calibri" w:cs="Calibri"/>
                <w:color w:val="000000"/>
                <w:lang w:eastAsia="en-GB"/>
              </w:rPr>
              <w:t>Any other religion</w:t>
            </w:r>
          </w:p>
        </w:tc>
        <w:tc>
          <w:tcPr>
            <w:tcW w:w="1059" w:type="dxa"/>
          </w:tcPr>
          <w:p w14:paraId="4A49B7E4" w14:textId="5DC562BC" w:rsidR="000C3DA5" w:rsidRPr="000C3DA5" w:rsidRDefault="000C3DA5" w:rsidP="00D65B29">
            <w:pPr>
              <w:jc w:val="right"/>
              <w:rPr>
                <w:rFonts w:ascii="Calibri" w:eastAsia="Times New Roman" w:hAnsi="Calibri" w:cs="Calibri"/>
                <w:color w:val="000000"/>
                <w:lang w:eastAsia="en-GB"/>
              </w:rPr>
            </w:pPr>
            <w:r w:rsidRPr="000C3DA5">
              <w:rPr>
                <w:rFonts w:ascii="Calibri" w:eastAsia="Times New Roman" w:hAnsi="Calibri" w:cs="Calibri"/>
                <w:color w:val="000000"/>
                <w:lang w:eastAsia="en-GB"/>
              </w:rPr>
              <w:t>13.9%</w:t>
            </w:r>
          </w:p>
        </w:tc>
      </w:tr>
    </w:tbl>
    <w:p w14:paraId="0948C81E" w14:textId="77777777" w:rsidR="00451BAE" w:rsidRDefault="00451BAE" w:rsidP="53766C39"/>
    <w:p w14:paraId="4EC0A6B8" w14:textId="7934EDCA" w:rsidR="46FA4546" w:rsidRDefault="226CD27F" w:rsidP="53766C39">
      <w:pPr>
        <w:pStyle w:val="Heading2"/>
        <w:rPr>
          <w:rFonts w:ascii="Calibri Light" w:hAnsi="Calibri Light"/>
          <w:b/>
          <w:bCs/>
        </w:rPr>
      </w:pPr>
      <w:bookmarkStart w:id="199" w:name="_Toc86832941"/>
      <w:bookmarkStart w:id="200" w:name="_Toc94185459"/>
      <w:r w:rsidRPr="53766C39">
        <w:rPr>
          <w:b/>
          <w:bCs/>
        </w:rPr>
        <w:t>Sex</w:t>
      </w:r>
      <w:bookmarkEnd w:id="199"/>
      <w:r w:rsidR="00184753">
        <w:rPr>
          <w:rStyle w:val="FootnoteReference"/>
          <w:b/>
          <w:bCs/>
        </w:rPr>
        <w:footnoteReference w:id="4"/>
      </w:r>
      <w:bookmarkEnd w:id="200"/>
    </w:p>
    <w:p w14:paraId="67181342" w14:textId="77777777" w:rsidR="000575F3" w:rsidRDefault="000575F3" w:rsidP="000575F3">
      <w:pPr>
        <w:rPr>
          <w:rFonts w:ascii="Calibri" w:eastAsia="Calibri" w:hAnsi="Calibri" w:cs="Calibri"/>
        </w:rPr>
      </w:pPr>
      <w:r w:rsidRPr="000575F3">
        <w:rPr>
          <w:rFonts w:ascii="Calibri" w:eastAsia="Calibri" w:hAnsi="Calibri" w:cs="Calibri"/>
        </w:rPr>
        <w:t>Based on our 2022 snapshot data, female colleagues made up the largest proportion of our workforce (55.8%), with a minor increase (0.6%) since 2021.</w:t>
      </w:r>
      <w:r>
        <w:rPr>
          <w:rFonts w:ascii="Calibri" w:eastAsia="Calibri" w:hAnsi="Calibri" w:cs="Calibri"/>
        </w:rPr>
        <w:t xml:space="preserve"> </w:t>
      </w:r>
    </w:p>
    <w:p w14:paraId="3FEFE40D" w14:textId="14B83A7F" w:rsidR="46FA4546" w:rsidRPr="000575F3" w:rsidRDefault="000575F3" w:rsidP="000575F3">
      <w:pPr>
        <w:rPr>
          <w:rFonts w:ascii="Calibri" w:eastAsia="Calibri" w:hAnsi="Calibri" w:cs="Calibri"/>
          <w:b/>
          <w:bCs/>
        </w:rPr>
      </w:pPr>
      <w:r w:rsidRPr="000575F3">
        <w:rPr>
          <w:rFonts w:ascii="Calibri" w:eastAsia="Calibri" w:hAnsi="Calibri" w:cs="Calibri"/>
          <w:b/>
          <w:bCs/>
        </w:rPr>
        <w:t>Table</w:t>
      </w:r>
      <w:r>
        <w:rPr>
          <w:rFonts w:ascii="Calibri" w:eastAsia="Calibri" w:hAnsi="Calibri" w:cs="Calibri"/>
          <w:b/>
          <w:bCs/>
        </w:rPr>
        <w:t>:</w:t>
      </w:r>
      <w:r w:rsidRPr="000575F3">
        <w:rPr>
          <w:rFonts w:ascii="Calibri" w:eastAsia="Calibri" w:hAnsi="Calibri" w:cs="Calibri"/>
          <w:b/>
          <w:bCs/>
        </w:rPr>
        <w:t xml:space="preserve"> Colleagues by occupation and sex</w:t>
      </w:r>
      <w:r w:rsidR="000C3DA5">
        <w:rPr>
          <w:rFonts w:ascii="Calibri" w:eastAsia="Calibri" w:hAnsi="Calibri" w:cs="Calibri"/>
          <w:b/>
          <w:bCs/>
        </w:rPr>
        <w:t>,</w:t>
      </w:r>
      <w:r w:rsidRPr="000575F3">
        <w:rPr>
          <w:rFonts w:ascii="Calibri" w:eastAsia="Calibri" w:hAnsi="Calibri" w:cs="Calibri"/>
          <w:b/>
          <w:bCs/>
        </w:rPr>
        <w:t xml:space="preserve"> 2022</w:t>
      </w:r>
      <w:r w:rsidR="000C3DA5">
        <w:rPr>
          <w:rFonts w:ascii="Calibri" w:eastAsia="Calibri" w:hAnsi="Calibri" w:cs="Calibri"/>
          <w:b/>
          <w:bCs/>
        </w:rPr>
        <w:t>.</w:t>
      </w:r>
      <w:r w:rsidR="226CD27F" w:rsidRPr="000575F3">
        <w:rPr>
          <w:rFonts w:ascii="Calibri" w:eastAsia="Calibri" w:hAnsi="Calibri" w:cs="Calibri"/>
          <w:b/>
          <w:bCs/>
        </w:rPr>
        <w:t xml:space="preserve"> </w:t>
      </w:r>
    </w:p>
    <w:tbl>
      <w:tblPr>
        <w:tblStyle w:val="TableGrid"/>
        <w:tblW w:w="5665" w:type="dxa"/>
        <w:tblLayout w:type="fixed"/>
        <w:tblLook w:val="04A0" w:firstRow="1" w:lastRow="0" w:firstColumn="1" w:lastColumn="0" w:noHBand="0" w:noVBand="1"/>
      </w:tblPr>
      <w:tblGrid>
        <w:gridCol w:w="2263"/>
        <w:gridCol w:w="1701"/>
        <w:gridCol w:w="1701"/>
      </w:tblGrid>
      <w:tr w:rsidR="00CF6191" w:rsidRPr="00B62C17" w14:paraId="14E8F1CF" w14:textId="6163953B" w:rsidTr="00CF6191">
        <w:trPr>
          <w:trHeight w:val="290"/>
        </w:trPr>
        <w:tc>
          <w:tcPr>
            <w:tcW w:w="2263" w:type="dxa"/>
            <w:noWrap/>
          </w:tcPr>
          <w:p w14:paraId="559348CC" w14:textId="2082EE8B" w:rsidR="00CF6191" w:rsidRPr="00B62C17" w:rsidRDefault="00CF6191" w:rsidP="00CF6191">
            <w:pPr>
              <w:autoSpaceDE w:val="0"/>
              <w:autoSpaceDN w:val="0"/>
              <w:adjustRightInd w:val="0"/>
              <w:rPr>
                <w:rFonts w:eastAsia="Times New Roman" w:cstheme="minorHAnsi"/>
                <w:color w:val="000000"/>
                <w:highlight w:val="yellow"/>
                <w:lang w:eastAsia="en-GB"/>
              </w:rPr>
            </w:pPr>
          </w:p>
        </w:tc>
        <w:tc>
          <w:tcPr>
            <w:tcW w:w="1701" w:type="dxa"/>
            <w:noWrap/>
          </w:tcPr>
          <w:p w14:paraId="0E5CB06D" w14:textId="18FE3A79" w:rsidR="00CF6191" w:rsidRPr="00B62C17" w:rsidRDefault="00CF6191" w:rsidP="00CF6191">
            <w:pPr>
              <w:jc w:val="center"/>
              <w:rPr>
                <w:rFonts w:eastAsia="Times New Roman" w:cstheme="minorHAnsi"/>
                <w:color w:val="000000"/>
                <w:highlight w:val="yellow"/>
                <w:lang w:eastAsia="en-GB"/>
              </w:rPr>
            </w:pPr>
            <w:r w:rsidRPr="000C3DA5">
              <w:rPr>
                <w:rFonts w:ascii="Calibri" w:eastAsia="Times New Roman" w:hAnsi="Calibri" w:cs="Calibri"/>
                <w:b/>
                <w:bCs/>
                <w:color w:val="000000"/>
                <w:lang w:eastAsia="en-GB"/>
              </w:rPr>
              <w:t>Female</w:t>
            </w:r>
          </w:p>
        </w:tc>
        <w:tc>
          <w:tcPr>
            <w:tcW w:w="1701" w:type="dxa"/>
          </w:tcPr>
          <w:p w14:paraId="4460ECDF" w14:textId="6C15E0C3" w:rsidR="00CF6191" w:rsidRPr="00B62C17" w:rsidRDefault="00CF6191" w:rsidP="00CF6191">
            <w:pPr>
              <w:jc w:val="center"/>
              <w:rPr>
                <w:rFonts w:cstheme="minorHAnsi"/>
              </w:rPr>
            </w:pPr>
            <w:r w:rsidRPr="000C3DA5">
              <w:rPr>
                <w:rFonts w:ascii="Calibri" w:eastAsia="Times New Roman" w:hAnsi="Calibri" w:cs="Calibri"/>
                <w:b/>
                <w:bCs/>
                <w:color w:val="000000"/>
                <w:lang w:eastAsia="en-GB"/>
              </w:rPr>
              <w:t>Male</w:t>
            </w:r>
          </w:p>
        </w:tc>
      </w:tr>
      <w:tr w:rsidR="00CF6191" w:rsidRPr="00B62C17" w14:paraId="300F8D4E" w14:textId="556C0B31" w:rsidTr="00CF6191">
        <w:trPr>
          <w:trHeight w:val="290"/>
        </w:trPr>
        <w:tc>
          <w:tcPr>
            <w:tcW w:w="2263" w:type="dxa"/>
            <w:noWrap/>
          </w:tcPr>
          <w:p w14:paraId="47914C1E" w14:textId="4C76D561" w:rsidR="00CF6191" w:rsidRPr="00B62C17" w:rsidRDefault="00CF6191" w:rsidP="00D65B29">
            <w:pPr>
              <w:autoSpaceDE w:val="0"/>
              <w:autoSpaceDN w:val="0"/>
              <w:adjustRightInd w:val="0"/>
              <w:rPr>
                <w:rFonts w:eastAsia="Times New Roman" w:cstheme="minorHAnsi"/>
                <w:color w:val="000000"/>
                <w:highlight w:val="yellow"/>
                <w:lang w:eastAsia="en-GB"/>
              </w:rPr>
            </w:pPr>
            <w:r w:rsidRPr="000C3DA5">
              <w:rPr>
                <w:rFonts w:ascii="Calibri" w:eastAsia="Times New Roman" w:hAnsi="Calibri" w:cs="Calibri"/>
                <w:color w:val="000000"/>
                <w:lang w:eastAsia="en-GB"/>
              </w:rPr>
              <w:t>All colleagues</w:t>
            </w:r>
          </w:p>
        </w:tc>
        <w:tc>
          <w:tcPr>
            <w:tcW w:w="1701" w:type="dxa"/>
            <w:noWrap/>
          </w:tcPr>
          <w:p w14:paraId="2C220466" w14:textId="395D55C3" w:rsidR="00CF6191" w:rsidRPr="00B62C17" w:rsidRDefault="00CF6191" w:rsidP="00D65B29">
            <w:pPr>
              <w:jc w:val="center"/>
              <w:rPr>
                <w:rFonts w:eastAsia="Times New Roman" w:cstheme="minorHAnsi"/>
                <w:color w:val="000000"/>
                <w:highlight w:val="yellow"/>
                <w:lang w:eastAsia="en-GB"/>
              </w:rPr>
            </w:pPr>
            <w:r w:rsidRPr="000C3DA5">
              <w:rPr>
                <w:rFonts w:ascii="Calibri" w:eastAsia="Times New Roman" w:hAnsi="Calibri" w:cs="Calibri"/>
                <w:color w:val="000000"/>
                <w:lang w:eastAsia="en-GB"/>
              </w:rPr>
              <w:t>55.8%</w:t>
            </w:r>
          </w:p>
        </w:tc>
        <w:tc>
          <w:tcPr>
            <w:tcW w:w="1701" w:type="dxa"/>
          </w:tcPr>
          <w:p w14:paraId="2CF62B06" w14:textId="168C6FC9" w:rsidR="00CF6191" w:rsidRPr="00B62C17" w:rsidRDefault="00CF6191" w:rsidP="00D65B29">
            <w:pPr>
              <w:jc w:val="center"/>
              <w:rPr>
                <w:rFonts w:cstheme="minorHAnsi"/>
              </w:rPr>
            </w:pPr>
            <w:r w:rsidRPr="000C3DA5">
              <w:rPr>
                <w:rFonts w:ascii="Calibri" w:eastAsia="Times New Roman" w:hAnsi="Calibri" w:cs="Calibri"/>
                <w:color w:val="000000"/>
                <w:lang w:eastAsia="en-GB"/>
              </w:rPr>
              <w:t>44.2%</w:t>
            </w:r>
          </w:p>
        </w:tc>
      </w:tr>
      <w:tr w:rsidR="00CF6191" w:rsidRPr="00B62C17" w14:paraId="68F4FC1E" w14:textId="7ADD3EF2" w:rsidTr="00CF6191">
        <w:trPr>
          <w:trHeight w:val="290"/>
        </w:trPr>
        <w:tc>
          <w:tcPr>
            <w:tcW w:w="2263" w:type="dxa"/>
            <w:noWrap/>
          </w:tcPr>
          <w:p w14:paraId="5FACB16A" w14:textId="0B994C66" w:rsidR="00CF6191" w:rsidRPr="00B62C17" w:rsidRDefault="00CF6191" w:rsidP="00CF6191">
            <w:pPr>
              <w:autoSpaceDE w:val="0"/>
              <w:autoSpaceDN w:val="0"/>
              <w:adjustRightInd w:val="0"/>
              <w:rPr>
                <w:rFonts w:eastAsia="Times New Roman" w:cstheme="minorHAnsi"/>
                <w:color w:val="000000"/>
                <w:highlight w:val="yellow"/>
                <w:lang w:eastAsia="en-GB"/>
              </w:rPr>
            </w:pPr>
            <w:r w:rsidRPr="000C3DA5">
              <w:rPr>
                <w:rFonts w:ascii="Calibri" w:eastAsia="Times New Roman" w:hAnsi="Calibri" w:cs="Calibri"/>
                <w:color w:val="000000"/>
                <w:lang w:eastAsia="en-GB"/>
              </w:rPr>
              <w:t>Academic colleagues</w:t>
            </w:r>
          </w:p>
        </w:tc>
        <w:tc>
          <w:tcPr>
            <w:tcW w:w="1701" w:type="dxa"/>
            <w:noWrap/>
          </w:tcPr>
          <w:p w14:paraId="7F1F25AB" w14:textId="644450EE" w:rsidR="00CF6191" w:rsidRPr="00B62C17" w:rsidRDefault="00CF6191" w:rsidP="00CF6191">
            <w:pPr>
              <w:jc w:val="center"/>
              <w:rPr>
                <w:rFonts w:eastAsia="Times New Roman" w:cstheme="minorHAnsi"/>
                <w:color w:val="000000"/>
                <w:highlight w:val="yellow"/>
                <w:lang w:eastAsia="en-GB"/>
              </w:rPr>
            </w:pPr>
            <w:r w:rsidRPr="000C3DA5">
              <w:rPr>
                <w:rFonts w:ascii="Calibri" w:eastAsia="Times New Roman" w:hAnsi="Calibri" w:cs="Calibri"/>
                <w:color w:val="000000"/>
                <w:lang w:eastAsia="en-GB"/>
              </w:rPr>
              <w:t>47.0%</w:t>
            </w:r>
          </w:p>
        </w:tc>
        <w:tc>
          <w:tcPr>
            <w:tcW w:w="1701" w:type="dxa"/>
          </w:tcPr>
          <w:p w14:paraId="14C4CBD8" w14:textId="7A30EBAB" w:rsidR="00CF6191" w:rsidRPr="00B62C17" w:rsidRDefault="00CF6191" w:rsidP="00CF6191">
            <w:pPr>
              <w:jc w:val="center"/>
              <w:rPr>
                <w:rFonts w:cstheme="minorHAnsi"/>
              </w:rPr>
            </w:pPr>
            <w:r w:rsidRPr="000C3DA5">
              <w:rPr>
                <w:rFonts w:ascii="Calibri" w:eastAsia="Times New Roman" w:hAnsi="Calibri" w:cs="Calibri"/>
                <w:color w:val="000000"/>
                <w:lang w:eastAsia="en-GB"/>
              </w:rPr>
              <w:t>53.0%</w:t>
            </w:r>
          </w:p>
        </w:tc>
      </w:tr>
      <w:tr w:rsidR="00CF6191" w:rsidRPr="00B62C17" w14:paraId="5E8BC0D6" w14:textId="5CCCCFBF" w:rsidTr="00CF6191">
        <w:trPr>
          <w:trHeight w:val="290"/>
        </w:trPr>
        <w:tc>
          <w:tcPr>
            <w:tcW w:w="2263" w:type="dxa"/>
            <w:noWrap/>
          </w:tcPr>
          <w:p w14:paraId="1978F36D" w14:textId="629F5D34" w:rsidR="00CF6191" w:rsidRPr="00B62C17" w:rsidRDefault="00CF6191" w:rsidP="00CF6191">
            <w:pPr>
              <w:rPr>
                <w:rFonts w:eastAsia="Times New Roman" w:cstheme="minorHAnsi"/>
                <w:color w:val="000000"/>
                <w:highlight w:val="yellow"/>
                <w:lang w:eastAsia="en-GB"/>
              </w:rPr>
            </w:pPr>
            <w:r w:rsidRPr="000C3DA5">
              <w:rPr>
                <w:rFonts w:ascii="Calibri" w:eastAsia="Times New Roman" w:hAnsi="Calibri" w:cs="Calibri"/>
                <w:color w:val="000000"/>
                <w:lang w:eastAsia="en-GB"/>
              </w:rPr>
              <w:t>PS colleagues</w:t>
            </w:r>
          </w:p>
        </w:tc>
        <w:tc>
          <w:tcPr>
            <w:tcW w:w="1701" w:type="dxa"/>
            <w:noWrap/>
          </w:tcPr>
          <w:p w14:paraId="501F5EFC" w14:textId="18621C26" w:rsidR="00CF6191" w:rsidRPr="00B62C17" w:rsidRDefault="00CF6191" w:rsidP="00CF6191">
            <w:pPr>
              <w:jc w:val="center"/>
              <w:rPr>
                <w:rFonts w:eastAsia="Times New Roman" w:cstheme="minorHAnsi"/>
                <w:color w:val="000000"/>
                <w:highlight w:val="yellow"/>
                <w:lang w:eastAsia="en-GB"/>
              </w:rPr>
            </w:pPr>
            <w:r w:rsidRPr="000C3DA5">
              <w:rPr>
                <w:rFonts w:ascii="Calibri" w:eastAsia="Times New Roman" w:hAnsi="Calibri" w:cs="Calibri"/>
                <w:color w:val="000000"/>
                <w:lang w:eastAsia="en-GB"/>
              </w:rPr>
              <w:t>63.0%</w:t>
            </w:r>
          </w:p>
        </w:tc>
        <w:tc>
          <w:tcPr>
            <w:tcW w:w="1701" w:type="dxa"/>
          </w:tcPr>
          <w:p w14:paraId="384AA7A8" w14:textId="45DADF21" w:rsidR="00CF6191" w:rsidRPr="00B62C17" w:rsidRDefault="00CF6191" w:rsidP="00CF6191">
            <w:pPr>
              <w:jc w:val="center"/>
              <w:rPr>
                <w:rFonts w:cstheme="minorHAnsi"/>
              </w:rPr>
            </w:pPr>
            <w:r w:rsidRPr="000C3DA5">
              <w:rPr>
                <w:rFonts w:ascii="Calibri" w:eastAsia="Times New Roman" w:hAnsi="Calibri" w:cs="Calibri"/>
                <w:color w:val="000000"/>
                <w:lang w:eastAsia="en-GB"/>
              </w:rPr>
              <w:t>37.0%</w:t>
            </w:r>
          </w:p>
        </w:tc>
      </w:tr>
    </w:tbl>
    <w:p w14:paraId="52681F8D" w14:textId="77777777" w:rsidR="00CF6191" w:rsidRDefault="00CF6191" w:rsidP="000575F3">
      <w:pPr>
        <w:spacing w:line="257" w:lineRule="auto"/>
        <w:rPr>
          <w:rFonts w:ascii="Calibri" w:eastAsia="Calibri" w:hAnsi="Calibri" w:cs="Calibri"/>
        </w:rPr>
      </w:pPr>
    </w:p>
    <w:p w14:paraId="029DF350" w14:textId="0ED66833" w:rsidR="000575F3" w:rsidRPr="000575F3" w:rsidRDefault="000575F3" w:rsidP="000575F3">
      <w:pPr>
        <w:spacing w:line="257" w:lineRule="auto"/>
        <w:rPr>
          <w:rFonts w:ascii="Calibri" w:eastAsia="Calibri" w:hAnsi="Calibri" w:cs="Calibri"/>
        </w:rPr>
      </w:pPr>
      <w:r w:rsidRPr="000575F3">
        <w:rPr>
          <w:rFonts w:ascii="Calibri" w:eastAsia="Calibri" w:hAnsi="Calibri" w:cs="Calibri"/>
        </w:rPr>
        <w:t xml:space="preserve">The greatest proportion of academics were male at 53.0% (a 1.3% decrease on 2021), with the proportion of female colleagues (47%) increasing by 1.3% since 2021 and 4.7% overall since 2017. Across academics, female colleagues made up the greatest proportion of R&amp;I (54.0%) and T&amp;S (58.2%) contracts, with male colleagues recorded as the highest proportion among T&amp;R contracts (61.5%). </w:t>
      </w:r>
    </w:p>
    <w:p w14:paraId="008C02DB" w14:textId="77777777" w:rsidR="000575F3" w:rsidRPr="000575F3" w:rsidRDefault="000575F3" w:rsidP="000575F3">
      <w:pPr>
        <w:spacing w:line="257" w:lineRule="auto"/>
        <w:rPr>
          <w:rFonts w:ascii="Calibri" w:eastAsia="Calibri" w:hAnsi="Calibri" w:cs="Calibri"/>
        </w:rPr>
      </w:pPr>
      <w:r w:rsidRPr="000575F3">
        <w:rPr>
          <w:rFonts w:ascii="Calibri" w:eastAsia="Calibri" w:hAnsi="Calibri" w:cs="Calibri"/>
        </w:rPr>
        <w:t xml:space="preserve">In relation to our faculties, female colleagues represented the largest proportion of academics in FMS (54.6%) and HaSS (52.6%), whilst male colleagues made up the largest proportion in SAgE (71.3%). </w:t>
      </w:r>
    </w:p>
    <w:p w14:paraId="26806EB9" w14:textId="1C076D93" w:rsidR="000575F3" w:rsidRPr="000575F3" w:rsidRDefault="000575F3" w:rsidP="000575F3">
      <w:pPr>
        <w:spacing w:line="257" w:lineRule="auto"/>
        <w:rPr>
          <w:rFonts w:ascii="Calibri" w:eastAsia="Calibri" w:hAnsi="Calibri" w:cs="Calibri"/>
        </w:rPr>
      </w:pPr>
      <w:r w:rsidRPr="000575F3">
        <w:rPr>
          <w:rFonts w:ascii="Calibri" w:eastAsia="Calibri" w:hAnsi="Calibri" w:cs="Calibri"/>
        </w:rPr>
        <w:t>Among PS, female colleagues make up the largest proportion (63.0%), with the percentage of male colleagues recorded at 37.0% (a 0.1% decrease and increase respectively since 2021).</w:t>
      </w:r>
    </w:p>
    <w:p w14:paraId="28247CBE" w14:textId="77777777" w:rsidR="000575F3" w:rsidRPr="000575F3" w:rsidRDefault="000575F3" w:rsidP="000575F3">
      <w:pPr>
        <w:spacing w:line="257" w:lineRule="auto"/>
        <w:rPr>
          <w:rFonts w:ascii="Calibri" w:eastAsia="Calibri" w:hAnsi="Calibri" w:cs="Calibri"/>
        </w:rPr>
      </w:pPr>
      <w:r w:rsidRPr="000575F3">
        <w:rPr>
          <w:rFonts w:ascii="Calibri" w:eastAsia="Calibri" w:hAnsi="Calibri" w:cs="Calibri"/>
        </w:rPr>
        <w:t>In terms of PS occupations, female colleagues represent the largest proportion of administrative occupations (74.2%), whilst male colleagues make up the majority of maintenance (≥98.0%), specialist/technical (61.7%), and operational (54.0%) roles.</w:t>
      </w:r>
    </w:p>
    <w:p w14:paraId="215F7A63" w14:textId="640371C6" w:rsidR="46FA4546" w:rsidRDefault="000575F3" w:rsidP="000575F3">
      <w:pPr>
        <w:spacing w:line="257" w:lineRule="auto"/>
        <w:rPr>
          <w:rFonts w:ascii="Calibri" w:eastAsia="Calibri" w:hAnsi="Calibri" w:cs="Calibri"/>
        </w:rPr>
      </w:pPr>
      <w:r w:rsidRPr="000575F3">
        <w:rPr>
          <w:rFonts w:ascii="Calibri" w:eastAsia="Calibri" w:hAnsi="Calibri" w:cs="Calibri"/>
        </w:rPr>
        <w:lastRenderedPageBreak/>
        <w:t>In relation to representation across PS grades, consistent with 2021, the highest representation of female colleagues is at grades C (70.1%) and D (70.9%). Although there is still an underrepresentation of female colleagues, compared to their overall representation in PS roles, in grades H (58.1%) and IB (53.7%), representation has increased in these grades by 5.2% and 1.2% respectively since 2021</w:t>
      </w:r>
      <w:r w:rsidR="226CD27F" w:rsidRPr="3905B53E">
        <w:rPr>
          <w:rFonts w:ascii="Calibri" w:eastAsia="Calibri" w:hAnsi="Calibri" w:cs="Calibri"/>
        </w:rPr>
        <w:t>.</w:t>
      </w:r>
    </w:p>
    <w:p w14:paraId="78EA04F6" w14:textId="7E8F7432" w:rsidR="000575F3" w:rsidRPr="000575F3" w:rsidRDefault="000575F3" w:rsidP="000575F3">
      <w:pPr>
        <w:spacing w:line="257" w:lineRule="auto"/>
        <w:rPr>
          <w:rFonts w:ascii="Calibri" w:eastAsia="Calibri" w:hAnsi="Calibri" w:cs="Calibri"/>
        </w:rPr>
      </w:pPr>
      <w:r w:rsidRPr="000575F3">
        <w:rPr>
          <w:rFonts w:ascii="Calibri" w:eastAsia="Calibri" w:hAnsi="Calibri" w:cs="Calibri"/>
        </w:rPr>
        <w:t>Among academics, the highest representation of female colleagues was in grades F (55.4%) and G (49.9%), with representation decreasing in subsequent grades. We have a lower representation of female colleagues at IB grade (34.7%), which is predominantly comprised of Professors. However, we have seen a slight increase in this figure since 2021 (1.7%), which is a 5.2% increase since 2017.</w:t>
      </w:r>
    </w:p>
    <w:p w14:paraId="0A5DB425" w14:textId="3B955C16" w:rsidR="00BE46B0" w:rsidRPr="000575F3" w:rsidRDefault="000575F3" w:rsidP="000575F3">
      <w:pPr>
        <w:spacing w:line="257" w:lineRule="auto"/>
        <w:rPr>
          <w:rFonts w:ascii="Calibri" w:eastAsia="Calibri" w:hAnsi="Calibri" w:cs="Calibri"/>
          <w:b/>
          <w:bCs/>
        </w:rPr>
      </w:pPr>
      <w:r w:rsidRPr="000575F3">
        <w:rPr>
          <w:rFonts w:ascii="Calibri" w:eastAsia="Calibri" w:hAnsi="Calibri" w:cs="Calibri"/>
          <w:b/>
          <w:bCs/>
        </w:rPr>
        <w:t>Table: Academic colleagues by sex and grade</w:t>
      </w:r>
      <w:r w:rsidR="00BB693F">
        <w:rPr>
          <w:rFonts w:ascii="Calibri" w:eastAsia="Calibri" w:hAnsi="Calibri" w:cs="Calibri"/>
          <w:b/>
          <w:bCs/>
        </w:rPr>
        <w:t>,</w:t>
      </w:r>
      <w:r w:rsidRPr="000575F3">
        <w:rPr>
          <w:rFonts w:ascii="Calibri" w:eastAsia="Calibri" w:hAnsi="Calibri" w:cs="Calibri"/>
          <w:b/>
          <w:bCs/>
        </w:rPr>
        <w:t xml:space="preserve"> 2022</w:t>
      </w:r>
      <w:r w:rsidR="00BB693F">
        <w:rPr>
          <w:rFonts w:ascii="Calibri" w:eastAsia="Calibri" w:hAnsi="Calibri" w:cs="Calibri"/>
          <w:b/>
          <w:bCs/>
        </w:rPr>
        <w:t>.</w:t>
      </w:r>
    </w:p>
    <w:tbl>
      <w:tblPr>
        <w:tblStyle w:val="TableGrid"/>
        <w:tblW w:w="4760" w:type="dxa"/>
        <w:tblLook w:val="04A0" w:firstRow="1" w:lastRow="0" w:firstColumn="1" w:lastColumn="0" w:noHBand="0" w:noVBand="1"/>
      </w:tblPr>
      <w:tblGrid>
        <w:gridCol w:w="1965"/>
        <w:gridCol w:w="1520"/>
        <w:gridCol w:w="1275"/>
      </w:tblGrid>
      <w:tr w:rsidR="00A31633" w:rsidRPr="000575F3" w14:paraId="07AD7F32" w14:textId="77777777" w:rsidTr="00CE14BB">
        <w:trPr>
          <w:trHeight w:val="290"/>
        </w:trPr>
        <w:tc>
          <w:tcPr>
            <w:tcW w:w="1965" w:type="dxa"/>
            <w:noWrap/>
            <w:hideMark/>
          </w:tcPr>
          <w:p w14:paraId="499BE8EF" w14:textId="30DCF99C" w:rsidR="00A31633" w:rsidRPr="009C3274" w:rsidRDefault="00BE46B0" w:rsidP="00A31633">
            <w:pPr>
              <w:rPr>
                <w:rFonts w:ascii="Calibri" w:eastAsia="Times New Roman" w:hAnsi="Calibri" w:cs="Calibri"/>
                <w:b/>
                <w:bCs/>
                <w:color w:val="000000"/>
                <w:lang w:eastAsia="en-GB"/>
              </w:rPr>
            </w:pPr>
            <w:r w:rsidRPr="009C3274">
              <w:rPr>
                <w:rFonts w:ascii="Calibri" w:eastAsia="Times New Roman" w:hAnsi="Calibri" w:cs="Calibri"/>
                <w:b/>
                <w:bCs/>
                <w:color w:val="000000"/>
                <w:lang w:eastAsia="en-GB"/>
              </w:rPr>
              <w:t>Grade</w:t>
            </w:r>
          </w:p>
        </w:tc>
        <w:tc>
          <w:tcPr>
            <w:tcW w:w="1520" w:type="dxa"/>
            <w:noWrap/>
            <w:hideMark/>
          </w:tcPr>
          <w:p w14:paraId="7D43FD26" w14:textId="77777777" w:rsidR="00A31633" w:rsidRPr="009C3274" w:rsidRDefault="00A31633" w:rsidP="009C3274">
            <w:pPr>
              <w:jc w:val="center"/>
              <w:rPr>
                <w:rFonts w:ascii="Calibri" w:eastAsia="Times New Roman" w:hAnsi="Calibri" w:cs="Calibri"/>
                <w:b/>
                <w:bCs/>
                <w:color w:val="000000"/>
                <w:lang w:eastAsia="en-GB"/>
              </w:rPr>
            </w:pPr>
            <w:r w:rsidRPr="009C3274">
              <w:rPr>
                <w:rFonts w:ascii="Calibri" w:eastAsia="Times New Roman" w:hAnsi="Calibri" w:cs="Calibri"/>
                <w:b/>
                <w:bCs/>
                <w:color w:val="000000"/>
                <w:lang w:eastAsia="en-GB"/>
              </w:rPr>
              <w:t>Female</w:t>
            </w:r>
          </w:p>
        </w:tc>
        <w:tc>
          <w:tcPr>
            <w:tcW w:w="1275" w:type="dxa"/>
            <w:noWrap/>
            <w:hideMark/>
          </w:tcPr>
          <w:p w14:paraId="3453A353" w14:textId="77777777" w:rsidR="00A31633" w:rsidRPr="009C3274" w:rsidRDefault="00A31633" w:rsidP="009C3274">
            <w:pPr>
              <w:jc w:val="center"/>
              <w:rPr>
                <w:rFonts w:ascii="Calibri" w:eastAsia="Times New Roman" w:hAnsi="Calibri" w:cs="Calibri"/>
                <w:b/>
                <w:bCs/>
                <w:color w:val="000000"/>
                <w:lang w:eastAsia="en-GB"/>
              </w:rPr>
            </w:pPr>
            <w:r w:rsidRPr="009C3274">
              <w:rPr>
                <w:rFonts w:ascii="Calibri" w:eastAsia="Times New Roman" w:hAnsi="Calibri" w:cs="Calibri"/>
                <w:b/>
                <w:bCs/>
                <w:color w:val="000000"/>
                <w:lang w:eastAsia="en-GB"/>
              </w:rPr>
              <w:t>Male</w:t>
            </w:r>
          </w:p>
        </w:tc>
      </w:tr>
      <w:tr w:rsidR="009C3274" w:rsidRPr="000575F3" w14:paraId="038C9F37" w14:textId="77777777" w:rsidTr="00D84603">
        <w:trPr>
          <w:trHeight w:val="290"/>
        </w:trPr>
        <w:tc>
          <w:tcPr>
            <w:tcW w:w="1965" w:type="dxa"/>
            <w:noWrap/>
            <w:hideMark/>
          </w:tcPr>
          <w:p w14:paraId="25F5650D" w14:textId="77777777" w:rsidR="009C3274" w:rsidRPr="009C3274" w:rsidRDefault="009C3274" w:rsidP="009C3274">
            <w:pPr>
              <w:rPr>
                <w:rFonts w:ascii="Calibri" w:eastAsia="Times New Roman" w:hAnsi="Calibri" w:cs="Calibri"/>
                <w:color w:val="000000"/>
                <w:lang w:eastAsia="en-GB"/>
              </w:rPr>
            </w:pPr>
            <w:r w:rsidRPr="009C3274">
              <w:rPr>
                <w:rFonts w:ascii="Calibri" w:eastAsia="Times New Roman" w:hAnsi="Calibri" w:cs="Calibri"/>
                <w:color w:val="000000"/>
                <w:lang w:eastAsia="en-GB"/>
              </w:rPr>
              <w:t>GRADE E</w:t>
            </w:r>
          </w:p>
        </w:tc>
        <w:tc>
          <w:tcPr>
            <w:tcW w:w="1520" w:type="dxa"/>
            <w:noWrap/>
            <w:vAlign w:val="bottom"/>
            <w:hideMark/>
          </w:tcPr>
          <w:p w14:paraId="52326CED" w14:textId="2ED98FA0" w:rsidR="009C3274" w:rsidRPr="009C3274" w:rsidRDefault="009C3274" w:rsidP="009C3274">
            <w:pPr>
              <w:jc w:val="center"/>
              <w:rPr>
                <w:rFonts w:ascii="Calibri" w:eastAsia="Times New Roman" w:hAnsi="Calibri" w:cs="Calibri"/>
                <w:color w:val="000000"/>
                <w:lang w:eastAsia="en-GB"/>
              </w:rPr>
            </w:pPr>
            <w:r w:rsidRPr="009C3274">
              <w:rPr>
                <w:rFonts w:ascii="Calibri" w:hAnsi="Calibri" w:cs="Calibri"/>
                <w:color w:val="000000"/>
              </w:rPr>
              <w:t>…</w:t>
            </w:r>
          </w:p>
        </w:tc>
        <w:tc>
          <w:tcPr>
            <w:tcW w:w="1275" w:type="dxa"/>
            <w:noWrap/>
            <w:hideMark/>
          </w:tcPr>
          <w:p w14:paraId="7389ABB1" w14:textId="2D660AF7" w:rsidR="009C3274" w:rsidRPr="009C3274" w:rsidRDefault="009C3274" w:rsidP="009C3274">
            <w:pPr>
              <w:jc w:val="center"/>
              <w:rPr>
                <w:rFonts w:ascii="Calibri" w:hAnsi="Calibri" w:cs="Calibri"/>
                <w:color w:val="000000"/>
              </w:rPr>
            </w:pPr>
            <w:r w:rsidRPr="009C3274">
              <w:rPr>
                <w:rFonts w:ascii="Calibri" w:hAnsi="Calibri" w:cs="Calibri"/>
                <w:color w:val="000000"/>
              </w:rPr>
              <w:t>…</w:t>
            </w:r>
          </w:p>
        </w:tc>
      </w:tr>
      <w:tr w:rsidR="009C3274" w:rsidRPr="000575F3" w14:paraId="38DA424C" w14:textId="77777777" w:rsidTr="009C3274">
        <w:trPr>
          <w:trHeight w:val="290"/>
        </w:trPr>
        <w:tc>
          <w:tcPr>
            <w:tcW w:w="1965" w:type="dxa"/>
            <w:noWrap/>
            <w:hideMark/>
          </w:tcPr>
          <w:p w14:paraId="73DCCCA8" w14:textId="77777777" w:rsidR="009C3274" w:rsidRPr="009C3274" w:rsidRDefault="009C3274" w:rsidP="009C3274">
            <w:pPr>
              <w:rPr>
                <w:rFonts w:ascii="Calibri" w:eastAsia="Times New Roman" w:hAnsi="Calibri" w:cs="Calibri"/>
                <w:color w:val="000000"/>
                <w:lang w:eastAsia="en-GB"/>
              </w:rPr>
            </w:pPr>
            <w:r w:rsidRPr="009C3274">
              <w:rPr>
                <w:rFonts w:ascii="Calibri" w:eastAsia="Times New Roman" w:hAnsi="Calibri" w:cs="Calibri"/>
                <w:color w:val="000000"/>
                <w:lang w:eastAsia="en-GB"/>
              </w:rPr>
              <w:t>GRADE F</w:t>
            </w:r>
          </w:p>
        </w:tc>
        <w:tc>
          <w:tcPr>
            <w:tcW w:w="1520" w:type="dxa"/>
            <w:noWrap/>
            <w:vAlign w:val="bottom"/>
            <w:hideMark/>
          </w:tcPr>
          <w:p w14:paraId="78A437D9" w14:textId="0468DAC4" w:rsidR="009C3274" w:rsidRPr="009C3274" w:rsidRDefault="009C3274" w:rsidP="009C3274">
            <w:pPr>
              <w:jc w:val="center"/>
              <w:rPr>
                <w:rFonts w:ascii="Calibri" w:hAnsi="Calibri" w:cs="Calibri"/>
                <w:color w:val="000000"/>
              </w:rPr>
            </w:pPr>
            <w:r w:rsidRPr="009C3274">
              <w:rPr>
                <w:rFonts w:ascii="Calibri" w:hAnsi="Calibri" w:cs="Calibri"/>
                <w:color w:val="000000"/>
              </w:rPr>
              <w:t>55.4%</w:t>
            </w:r>
          </w:p>
        </w:tc>
        <w:tc>
          <w:tcPr>
            <w:tcW w:w="1275" w:type="dxa"/>
            <w:noWrap/>
          </w:tcPr>
          <w:p w14:paraId="4EFF728C" w14:textId="1B5A4F20" w:rsidR="009C3274" w:rsidRPr="009C3274" w:rsidRDefault="009C3274" w:rsidP="009C3274">
            <w:pPr>
              <w:jc w:val="center"/>
              <w:rPr>
                <w:rFonts w:ascii="Calibri" w:hAnsi="Calibri" w:cs="Calibri"/>
                <w:color w:val="000000"/>
              </w:rPr>
            </w:pPr>
            <w:r w:rsidRPr="009C3274">
              <w:rPr>
                <w:rFonts w:ascii="Calibri" w:hAnsi="Calibri" w:cs="Calibri"/>
                <w:color w:val="000000"/>
              </w:rPr>
              <w:t>44.6%</w:t>
            </w:r>
          </w:p>
        </w:tc>
      </w:tr>
      <w:tr w:rsidR="009C3274" w:rsidRPr="000575F3" w14:paraId="5ED9514B" w14:textId="77777777" w:rsidTr="009C3274">
        <w:trPr>
          <w:trHeight w:val="290"/>
        </w:trPr>
        <w:tc>
          <w:tcPr>
            <w:tcW w:w="1965" w:type="dxa"/>
            <w:noWrap/>
            <w:hideMark/>
          </w:tcPr>
          <w:p w14:paraId="694A003A" w14:textId="77777777" w:rsidR="009C3274" w:rsidRPr="009C3274" w:rsidRDefault="009C3274" w:rsidP="009C3274">
            <w:pPr>
              <w:rPr>
                <w:rFonts w:ascii="Calibri" w:eastAsia="Times New Roman" w:hAnsi="Calibri" w:cs="Calibri"/>
                <w:color w:val="000000"/>
                <w:lang w:eastAsia="en-GB"/>
              </w:rPr>
            </w:pPr>
            <w:r w:rsidRPr="009C3274">
              <w:rPr>
                <w:rFonts w:ascii="Calibri" w:eastAsia="Times New Roman" w:hAnsi="Calibri" w:cs="Calibri"/>
                <w:color w:val="000000"/>
                <w:lang w:eastAsia="en-GB"/>
              </w:rPr>
              <w:t>GRADE G</w:t>
            </w:r>
          </w:p>
        </w:tc>
        <w:tc>
          <w:tcPr>
            <w:tcW w:w="1520" w:type="dxa"/>
            <w:noWrap/>
            <w:vAlign w:val="bottom"/>
            <w:hideMark/>
          </w:tcPr>
          <w:p w14:paraId="56F79F24" w14:textId="623DE437" w:rsidR="009C3274" w:rsidRPr="009C3274" w:rsidRDefault="009C3274" w:rsidP="009C3274">
            <w:pPr>
              <w:jc w:val="center"/>
              <w:rPr>
                <w:rFonts w:ascii="Calibri" w:eastAsia="Times New Roman" w:hAnsi="Calibri" w:cs="Calibri"/>
                <w:color w:val="000000"/>
                <w:lang w:eastAsia="en-GB"/>
              </w:rPr>
            </w:pPr>
            <w:r w:rsidRPr="009C3274">
              <w:rPr>
                <w:rFonts w:ascii="Calibri" w:hAnsi="Calibri" w:cs="Calibri"/>
                <w:color w:val="000000"/>
              </w:rPr>
              <w:t>49.9%</w:t>
            </w:r>
          </w:p>
        </w:tc>
        <w:tc>
          <w:tcPr>
            <w:tcW w:w="1275" w:type="dxa"/>
            <w:noWrap/>
            <w:vAlign w:val="bottom"/>
          </w:tcPr>
          <w:p w14:paraId="74A0FB65" w14:textId="57ECD8E0" w:rsidR="009C3274" w:rsidRPr="009C3274" w:rsidRDefault="009C3274" w:rsidP="009C3274">
            <w:pPr>
              <w:jc w:val="center"/>
              <w:rPr>
                <w:rFonts w:ascii="Calibri" w:hAnsi="Calibri" w:cs="Calibri"/>
                <w:color w:val="000000"/>
              </w:rPr>
            </w:pPr>
            <w:r w:rsidRPr="009C3274">
              <w:rPr>
                <w:rFonts w:ascii="Calibri" w:hAnsi="Calibri" w:cs="Calibri"/>
                <w:color w:val="000000"/>
              </w:rPr>
              <w:t>50.1%</w:t>
            </w:r>
          </w:p>
        </w:tc>
      </w:tr>
      <w:tr w:rsidR="009C3274" w:rsidRPr="000575F3" w14:paraId="1BDC6607" w14:textId="77777777" w:rsidTr="009C3274">
        <w:trPr>
          <w:trHeight w:val="290"/>
        </w:trPr>
        <w:tc>
          <w:tcPr>
            <w:tcW w:w="1965" w:type="dxa"/>
            <w:noWrap/>
            <w:hideMark/>
          </w:tcPr>
          <w:p w14:paraId="56C5B220" w14:textId="77777777" w:rsidR="009C3274" w:rsidRPr="009C3274" w:rsidRDefault="009C3274" w:rsidP="009C3274">
            <w:pPr>
              <w:rPr>
                <w:rFonts w:ascii="Calibri" w:eastAsia="Times New Roman" w:hAnsi="Calibri" w:cs="Calibri"/>
                <w:color w:val="000000"/>
                <w:lang w:eastAsia="en-GB"/>
              </w:rPr>
            </w:pPr>
            <w:r w:rsidRPr="009C3274">
              <w:rPr>
                <w:rFonts w:ascii="Calibri" w:eastAsia="Times New Roman" w:hAnsi="Calibri" w:cs="Calibri"/>
                <w:color w:val="000000"/>
                <w:lang w:eastAsia="en-GB"/>
              </w:rPr>
              <w:t>GRADE H</w:t>
            </w:r>
          </w:p>
        </w:tc>
        <w:tc>
          <w:tcPr>
            <w:tcW w:w="1520" w:type="dxa"/>
            <w:noWrap/>
            <w:vAlign w:val="bottom"/>
            <w:hideMark/>
          </w:tcPr>
          <w:p w14:paraId="794F595A" w14:textId="459D3A91" w:rsidR="009C3274" w:rsidRPr="009C3274" w:rsidRDefault="009C3274" w:rsidP="009C3274">
            <w:pPr>
              <w:jc w:val="center"/>
              <w:rPr>
                <w:rFonts w:ascii="Calibri" w:eastAsia="Times New Roman" w:hAnsi="Calibri" w:cs="Calibri"/>
                <w:color w:val="000000"/>
                <w:lang w:eastAsia="en-GB"/>
              </w:rPr>
            </w:pPr>
            <w:r w:rsidRPr="009C3274">
              <w:rPr>
                <w:rFonts w:ascii="Calibri" w:hAnsi="Calibri" w:cs="Calibri"/>
                <w:color w:val="000000"/>
              </w:rPr>
              <w:t>41.5%</w:t>
            </w:r>
          </w:p>
        </w:tc>
        <w:tc>
          <w:tcPr>
            <w:tcW w:w="1275" w:type="dxa"/>
            <w:noWrap/>
          </w:tcPr>
          <w:p w14:paraId="7423C8D4" w14:textId="2EF7F760" w:rsidR="009C3274" w:rsidRPr="009C3274" w:rsidRDefault="009C3274" w:rsidP="009C3274">
            <w:pPr>
              <w:jc w:val="center"/>
              <w:rPr>
                <w:rFonts w:ascii="Calibri" w:hAnsi="Calibri" w:cs="Calibri"/>
                <w:color w:val="000000"/>
              </w:rPr>
            </w:pPr>
            <w:r w:rsidRPr="009C3274">
              <w:rPr>
                <w:rFonts w:ascii="Calibri" w:hAnsi="Calibri" w:cs="Calibri"/>
                <w:color w:val="000000"/>
              </w:rPr>
              <w:t>58.5%</w:t>
            </w:r>
          </w:p>
        </w:tc>
      </w:tr>
      <w:tr w:rsidR="009C3274" w:rsidRPr="000575F3" w14:paraId="6FE95B31" w14:textId="77777777" w:rsidTr="009C3274">
        <w:trPr>
          <w:trHeight w:val="290"/>
        </w:trPr>
        <w:tc>
          <w:tcPr>
            <w:tcW w:w="1965" w:type="dxa"/>
            <w:noWrap/>
            <w:hideMark/>
          </w:tcPr>
          <w:p w14:paraId="3986C622" w14:textId="77777777" w:rsidR="009C3274" w:rsidRPr="009C3274" w:rsidRDefault="009C3274" w:rsidP="009C3274">
            <w:pPr>
              <w:rPr>
                <w:rFonts w:ascii="Calibri" w:eastAsia="Times New Roman" w:hAnsi="Calibri" w:cs="Calibri"/>
                <w:color w:val="000000"/>
                <w:lang w:eastAsia="en-GB"/>
              </w:rPr>
            </w:pPr>
            <w:r w:rsidRPr="009C3274">
              <w:rPr>
                <w:rFonts w:ascii="Calibri" w:eastAsia="Times New Roman" w:hAnsi="Calibri" w:cs="Calibri"/>
                <w:color w:val="000000"/>
                <w:lang w:eastAsia="en-GB"/>
              </w:rPr>
              <w:t>GRADE IA</w:t>
            </w:r>
          </w:p>
        </w:tc>
        <w:tc>
          <w:tcPr>
            <w:tcW w:w="1520" w:type="dxa"/>
            <w:noWrap/>
            <w:vAlign w:val="bottom"/>
            <w:hideMark/>
          </w:tcPr>
          <w:p w14:paraId="026BC6F2" w14:textId="5560A34B" w:rsidR="009C3274" w:rsidRPr="009C3274" w:rsidRDefault="009C3274" w:rsidP="009C3274">
            <w:pPr>
              <w:jc w:val="center"/>
              <w:rPr>
                <w:rFonts w:ascii="Calibri" w:eastAsia="Times New Roman" w:hAnsi="Calibri" w:cs="Calibri"/>
                <w:color w:val="000000"/>
                <w:lang w:eastAsia="en-GB"/>
              </w:rPr>
            </w:pPr>
            <w:r w:rsidRPr="009C3274">
              <w:rPr>
                <w:rFonts w:ascii="Calibri" w:eastAsia="Times New Roman" w:hAnsi="Calibri" w:cs="Calibri"/>
                <w:color w:val="000000"/>
                <w:lang w:eastAsia="en-GB"/>
              </w:rPr>
              <w:t>34.5%</w:t>
            </w:r>
          </w:p>
        </w:tc>
        <w:tc>
          <w:tcPr>
            <w:tcW w:w="1275" w:type="dxa"/>
            <w:noWrap/>
          </w:tcPr>
          <w:p w14:paraId="7BBBD50D" w14:textId="6288BFB5" w:rsidR="009C3274" w:rsidRPr="009C3274" w:rsidRDefault="009C3274" w:rsidP="009C3274">
            <w:pPr>
              <w:jc w:val="center"/>
              <w:rPr>
                <w:rFonts w:ascii="Calibri" w:hAnsi="Calibri" w:cs="Calibri"/>
                <w:color w:val="000000"/>
              </w:rPr>
            </w:pPr>
            <w:r w:rsidRPr="009C3274">
              <w:rPr>
                <w:rFonts w:ascii="Calibri" w:hAnsi="Calibri" w:cs="Calibri"/>
                <w:color w:val="000000"/>
              </w:rPr>
              <w:t>65.5%</w:t>
            </w:r>
          </w:p>
        </w:tc>
      </w:tr>
      <w:tr w:rsidR="009C3274" w:rsidRPr="000575F3" w14:paraId="7D2AE9AF" w14:textId="77777777" w:rsidTr="009C3274">
        <w:trPr>
          <w:trHeight w:val="300"/>
        </w:trPr>
        <w:tc>
          <w:tcPr>
            <w:tcW w:w="1965" w:type="dxa"/>
            <w:noWrap/>
            <w:hideMark/>
          </w:tcPr>
          <w:p w14:paraId="75A5922F" w14:textId="77777777" w:rsidR="009C3274" w:rsidRPr="009C3274" w:rsidRDefault="009C3274" w:rsidP="009C3274">
            <w:pPr>
              <w:rPr>
                <w:rFonts w:ascii="Calibri" w:eastAsia="Times New Roman" w:hAnsi="Calibri" w:cs="Calibri"/>
                <w:color w:val="000000"/>
                <w:lang w:eastAsia="en-GB"/>
              </w:rPr>
            </w:pPr>
            <w:r w:rsidRPr="009C3274">
              <w:rPr>
                <w:rFonts w:ascii="Calibri" w:eastAsia="Times New Roman" w:hAnsi="Calibri" w:cs="Calibri"/>
                <w:color w:val="000000"/>
                <w:lang w:eastAsia="en-GB"/>
              </w:rPr>
              <w:t>GRADE IB</w:t>
            </w:r>
          </w:p>
        </w:tc>
        <w:tc>
          <w:tcPr>
            <w:tcW w:w="1520" w:type="dxa"/>
            <w:noWrap/>
            <w:vAlign w:val="bottom"/>
            <w:hideMark/>
          </w:tcPr>
          <w:p w14:paraId="6BE60C48" w14:textId="3BDCA156" w:rsidR="009C3274" w:rsidRPr="009C3274" w:rsidRDefault="009C3274" w:rsidP="009C3274">
            <w:pPr>
              <w:jc w:val="center"/>
              <w:rPr>
                <w:rFonts w:ascii="Calibri" w:eastAsia="Times New Roman" w:hAnsi="Calibri" w:cs="Calibri"/>
                <w:color w:val="000000"/>
                <w:lang w:eastAsia="en-GB"/>
              </w:rPr>
            </w:pPr>
            <w:r w:rsidRPr="009C3274">
              <w:rPr>
                <w:rFonts w:ascii="Calibri" w:hAnsi="Calibri" w:cs="Calibri"/>
                <w:color w:val="000000"/>
              </w:rPr>
              <w:t>34.7%</w:t>
            </w:r>
          </w:p>
        </w:tc>
        <w:tc>
          <w:tcPr>
            <w:tcW w:w="1275" w:type="dxa"/>
            <w:noWrap/>
          </w:tcPr>
          <w:p w14:paraId="7372260E" w14:textId="03022598" w:rsidR="009C3274" w:rsidRPr="009C3274" w:rsidRDefault="009C3274" w:rsidP="009C3274">
            <w:pPr>
              <w:jc w:val="center"/>
              <w:rPr>
                <w:rFonts w:ascii="Calibri" w:hAnsi="Calibri" w:cs="Calibri"/>
                <w:color w:val="000000"/>
              </w:rPr>
            </w:pPr>
            <w:r w:rsidRPr="009C3274">
              <w:rPr>
                <w:rFonts w:ascii="Calibri" w:hAnsi="Calibri" w:cs="Calibri"/>
                <w:color w:val="000000"/>
              </w:rPr>
              <w:t>65.3%</w:t>
            </w:r>
          </w:p>
        </w:tc>
      </w:tr>
    </w:tbl>
    <w:p w14:paraId="3BE51603" w14:textId="3508DC5C" w:rsidR="00BE46B0" w:rsidRDefault="00BE46B0" w:rsidP="3905B53E">
      <w:pPr>
        <w:spacing w:line="257" w:lineRule="auto"/>
        <w:rPr>
          <w:rFonts w:ascii="Calibri" w:eastAsia="Calibri" w:hAnsi="Calibri" w:cs="Calibri"/>
        </w:rPr>
      </w:pPr>
    </w:p>
    <w:p w14:paraId="2FFA727D" w14:textId="27BFF8B9" w:rsidR="00BE46B0" w:rsidRPr="000575F3" w:rsidRDefault="00BE46B0" w:rsidP="3905B53E">
      <w:pPr>
        <w:spacing w:line="257" w:lineRule="auto"/>
        <w:rPr>
          <w:rFonts w:ascii="Calibri" w:eastAsia="Calibri" w:hAnsi="Calibri" w:cs="Calibri"/>
          <w:b/>
          <w:bCs/>
        </w:rPr>
      </w:pPr>
      <w:r w:rsidRPr="000575F3">
        <w:rPr>
          <w:rFonts w:ascii="Calibri" w:eastAsia="Times New Roman" w:hAnsi="Calibri" w:cs="Calibri"/>
          <w:b/>
          <w:bCs/>
          <w:color w:val="000000"/>
          <w:lang w:eastAsia="en-GB"/>
        </w:rPr>
        <w:t>Table: PS colleagues by sex and grade</w:t>
      </w:r>
      <w:r w:rsidR="009C3274">
        <w:rPr>
          <w:rFonts w:ascii="Calibri" w:eastAsia="Times New Roman" w:hAnsi="Calibri" w:cs="Calibri"/>
          <w:b/>
          <w:bCs/>
          <w:color w:val="000000"/>
          <w:lang w:eastAsia="en-GB"/>
        </w:rPr>
        <w:t>,</w:t>
      </w:r>
      <w:r w:rsidR="000575F3">
        <w:rPr>
          <w:rFonts w:ascii="Calibri" w:eastAsia="Times New Roman" w:hAnsi="Calibri" w:cs="Calibri"/>
          <w:b/>
          <w:bCs/>
          <w:color w:val="000000"/>
          <w:lang w:eastAsia="en-GB"/>
        </w:rPr>
        <w:t xml:space="preserve"> </w:t>
      </w:r>
      <w:r w:rsidRPr="000575F3">
        <w:rPr>
          <w:rFonts w:ascii="Calibri" w:eastAsia="Times New Roman" w:hAnsi="Calibri" w:cs="Calibri"/>
          <w:b/>
          <w:bCs/>
          <w:color w:val="000000"/>
          <w:lang w:eastAsia="en-GB"/>
        </w:rPr>
        <w:t>202</w:t>
      </w:r>
      <w:r w:rsidR="000575F3" w:rsidRPr="000575F3">
        <w:rPr>
          <w:rFonts w:ascii="Calibri" w:eastAsia="Times New Roman" w:hAnsi="Calibri" w:cs="Calibri"/>
          <w:b/>
          <w:bCs/>
          <w:color w:val="000000"/>
          <w:lang w:eastAsia="en-GB"/>
        </w:rPr>
        <w:t>2</w:t>
      </w:r>
      <w:r w:rsidR="009C3274">
        <w:rPr>
          <w:rFonts w:ascii="Calibri" w:eastAsia="Times New Roman" w:hAnsi="Calibri" w:cs="Calibri"/>
          <w:b/>
          <w:bCs/>
          <w:color w:val="000000"/>
          <w:lang w:eastAsia="en-GB"/>
        </w:rPr>
        <w:t>.</w:t>
      </w:r>
    </w:p>
    <w:tbl>
      <w:tblPr>
        <w:tblStyle w:val="TableGrid"/>
        <w:tblW w:w="5669" w:type="dxa"/>
        <w:tblLook w:val="04A0" w:firstRow="1" w:lastRow="0" w:firstColumn="1" w:lastColumn="0" w:noHBand="0" w:noVBand="1"/>
      </w:tblPr>
      <w:tblGrid>
        <w:gridCol w:w="2951"/>
        <w:gridCol w:w="1170"/>
        <w:gridCol w:w="1548"/>
      </w:tblGrid>
      <w:tr w:rsidR="00DE7D50" w:rsidRPr="000575F3" w14:paraId="66FD2604" w14:textId="77777777" w:rsidTr="00BE46B0">
        <w:trPr>
          <w:trHeight w:val="292"/>
        </w:trPr>
        <w:tc>
          <w:tcPr>
            <w:tcW w:w="2951" w:type="dxa"/>
            <w:noWrap/>
            <w:hideMark/>
          </w:tcPr>
          <w:p w14:paraId="6F536D9C" w14:textId="647E55BC" w:rsidR="00DE7D50" w:rsidRPr="009C3274" w:rsidRDefault="00BE46B0" w:rsidP="00DE7D50">
            <w:pPr>
              <w:rPr>
                <w:rFonts w:ascii="Calibri" w:eastAsia="Times New Roman" w:hAnsi="Calibri" w:cs="Calibri"/>
                <w:b/>
                <w:bCs/>
                <w:color w:val="000000"/>
                <w:lang w:eastAsia="en-GB"/>
              </w:rPr>
            </w:pPr>
            <w:r w:rsidRPr="009C3274">
              <w:rPr>
                <w:rFonts w:ascii="Calibri" w:eastAsia="Times New Roman" w:hAnsi="Calibri" w:cs="Calibri"/>
                <w:b/>
                <w:bCs/>
                <w:color w:val="000000"/>
                <w:lang w:eastAsia="en-GB"/>
              </w:rPr>
              <w:t>Grade</w:t>
            </w:r>
            <w:r w:rsidR="00DE7D50" w:rsidRPr="009C3274">
              <w:rPr>
                <w:rFonts w:ascii="Calibri" w:eastAsia="Times New Roman" w:hAnsi="Calibri" w:cs="Calibri"/>
                <w:b/>
                <w:bCs/>
                <w:color w:val="000000"/>
                <w:lang w:eastAsia="en-GB"/>
              </w:rPr>
              <w:t> </w:t>
            </w:r>
          </w:p>
        </w:tc>
        <w:tc>
          <w:tcPr>
            <w:tcW w:w="1170" w:type="dxa"/>
            <w:noWrap/>
            <w:hideMark/>
          </w:tcPr>
          <w:p w14:paraId="6EA0EAA9" w14:textId="77777777" w:rsidR="00DE7D50" w:rsidRPr="009C3274" w:rsidRDefault="00DE7D50" w:rsidP="009C3274">
            <w:pPr>
              <w:jc w:val="center"/>
              <w:rPr>
                <w:rFonts w:ascii="Calibri" w:eastAsia="Times New Roman" w:hAnsi="Calibri" w:cs="Calibri"/>
                <w:b/>
                <w:bCs/>
                <w:color w:val="000000"/>
                <w:lang w:eastAsia="en-GB"/>
              </w:rPr>
            </w:pPr>
            <w:r w:rsidRPr="009C3274">
              <w:rPr>
                <w:rFonts w:ascii="Calibri" w:eastAsia="Times New Roman" w:hAnsi="Calibri" w:cs="Calibri"/>
                <w:b/>
                <w:bCs/>
                <w:color w:val="000000"/>
                <w:lang w:eastAsia="en-GB"/>
              </w:rPr>
              <w:t>Female</w:t>
            </w:r>
          </w:p>
        </w:tc>
        <w:tc>
          <w:tcPr>
            <w:tcW w:w="1548" w:type="dxa"/>
            <w:noWrap/>
            <w:hideMark/>
          </w:tcPr>
          <w:p w14:paraId="2E57524D" w14:textId="77777777" w:rsidR="00DE7D50" w:rsidRPr="009C3274" w:rsidRDefault="00DE7D50" w:rsidP="009C3274">
            <w:pPr>
              <w:jc w:val="center"/>
              <w:rPr>
                <w:rFonts w:ascii="Calibri" w:eastAsia="Times New Roman" w:hAnsi="Calibri" w:cs="Calibri"/>
                <w:b/>
                <w:bCs/>
                <w:color w:val="000000"/>
                <w:lang w:eastAsia="en-GB"/>
              </w:rPr>
            </w:pPr>
            <w:r w:rsidRPr="009C3274">
              <w:rPr>
                <w:rFonts w:ascii="Calibri" w:eastAsia="Times New Roman" w:hAnsi="Calibri" w:cs="Calibri"/>
                <w:b/>
                <w:bCs/>
                <w:color w:val="000000"/>
                <w:lang w:eastAsia="en-GB"/>
              </w:rPr>
              <w:t>Male</w:t>
            </w:r>
          </w:p>
        </w:tc>
      </w:tr>
      <w:tr w:rsidR="009C3274" w:rsidRPr="009C3274" w14:paraId="1F033A16" w14:textId="77777777" w:rsidTr="009C3274">
        <w:trPr>
          <w:trHeight w:val="292"/>
        </w:trPr>
        <w:tc>
          <w:tcPr>
            <w:tcW w:w="2951" w:type="dxa"/>
            <w:noWrap/>
            <w:hideMark/>
          </w:tcPr>
          <w:p w14:paraId="5549D103" w14:textId="77777777" w:rsidR="009C3274" w:rsidRPr="00792C55" w:rsidRDefault="009C3274" w:rsidP="009C3274">
            <w:pPr>
              <w:rPr>
                <w:rFonts w:ascii="Calibri" w:eastAsia="Times New Roman" w:hAnsi="Calibri" w:cs="Calibri"/>
                <w:color w:val="000000"/>
                <w:lang w:eastAsia="en-GB"/>
              </w:rPr>
            </w:pPr>
            <w:r w:rsidRPr="00792C55">
              <w:rPr>
                <w:rFonts w:ascii="Calibri" w:eastAsia="Times New Roman" w:hAnsi="Calibri" w:cs="Calibri"/>
                <w:color w:val="000000"/>
                <w:lang w:eastAsia="en-GB"/>
              </w:rPr>
              <w:t>GRADE A</w:t>
            </w:r>
          </w:p>
        </w:tc>
        <w:tc>
          <w:tcPr>
            <w:tcW w:w="1170" w:type="dxa"/>
            <w:noWrap/>
          </w:tcPr>
          <w:p w14:paraId="0BE43A62" w14:textId="3D50CAD9" w:rsidR="009C3274" w:rsidRPr="009C3274" w:rsidRDefault="009C3274" w:rsidP="009C3274">
            <w:pPr>
              <w:jc w:val="center"/>
              <w:rPr>
                <w:rFonts w:ascii="Calibri" w:hAnsi="Calibri" w:cs="Calibri"/>
                <w:color w:val="000000"/>
              </w:rPr>
            </w:pPr>
            <w:r w:rsidRPr="009C3274">
              <w:t>57.2%</w:t>
            </w:r>
          </w:p>
        </w:tc>
        <w:tc>
          <w:tcPr>
            <w:tcW w:w="1548" w:type="dxa"/>
            <w:noWrap/>
          </w:tcPr>
          <w:p w14:paraId="4DA0705B" w14:textId="13C43D21" w:rsidR="009C3274" w:rsidRPr="009C3274" w:rsidRDefault="009C3274" w:rsidP="009C3274">
            <w:pPr>
              <w:jc w:val="center"/>
              <w:rPr>
                <w:rFonts w:ascii="Calibri" w:eastAsia="Times New Roman" w:hAnsi="Calibri" w:cs="Calibri"/>
                <w:b/>
                <w:bCs/>
                <w:color w:val="000000"/>
                <w:lang w:eastAsia="en-GB"/>
              </w:rPr>
            </w:pPr>
            <w:r w:rsidRPr="009C3274">
              <w:t>42.8%</w:t>
            </w:r>
          </w:p>
        </w:tc>
      </w:tr>
      <w:tr w:rsidR="009C3274" w:rsidRPr="009C3274" w14:paraId="560C5DB2" w14:textId="77777777" w:rsidTr="009C3274">
        <w:trPr>
          <w:trHeight w:val="292"/>
        </w:trPr>
        <w:tc>
          <w:tcPr>
            <w:tcW w:w="2951" w:type="dxa"/>
            <w:noWrap/>
            <w:hideMark/>
          </w:tcPr>
          <w:p w14:paraId="18E76D8C" w14:textId="77777777" w:rsidR="009C3274" w:rsidRPr="00792C55" w:rsidRDefault="009C3274" w:rsidP="009C3274">
            <w:pPr>
              <w:rPr>
                <w:rFonts w:ascii="Calibri" w:eastAsia="Times New Roman" w:hAnsi="Calibri" w:cs="Calibri"/>
                <w:color w:val="000000"/>
                <w:lang w:eastAsia="en-GB"/>
              </w:rPr>
            </w:pPr>
            <w:r w:rsidRPr="00792C55">
              <w:rPr>
                <w:rFonts w:ascii="Calibri" w:eastAsia="Times New Roman" w:hAnsi="Calibri" w:cs="Calibri"/>
                <w:color w:val="000000"/>
                <w:lang w:eastAsia="en-GB"/>
              </w:rPr>
              <w:t>GRADE B</w:t>
            </w:r>
          </w:p>
        </w:tc>
        <w:tc>
          <w:tcPr>
            <w:tcW w:w="1170" w:type="dxa"/>
            <w:noWrap/>
          </w:tcPr>
          <w:p w14:paraId="016245C4" w14:textId="37290C85" w:rsidR="009C3274" w:rsidRPr="009C3274" w:rsidRDefault="009C3274" w:rsidP="009C3274">
            <w:pPr>
              <w:jc w:val="center"/>
              <w:rPr>
                <w:rFonts w:ascii="Calibri" w:eastAsia="Times New Roman" w:hAnsi="Calibri" w:cs="Calibri"/>
                <w:b/>
                <w:bCs/>
                <w:color w:val="000000"/>
                <w:lang w:eastAsia="en-GB"/>
              </w:rPr>
            </w:pPr>
            <w:r w:rsidRPr="009C3274">
              <w:t>39.2%</w:t>
            </w:r>
          </w:p>
        </w:tc>
        <w:tc>
          <w:tcPr>
            <w:tcW w:w="1548" w:type="dxa"/>
            <w:noWrap/>
          </w:tcPr>
          <w:p w14:paraId="321B22A2" w14:textId="6A69CB64" w:rsidR="009C3274" w:rsidRPr="009C3274" w:rsidRDefault="009C3274" w:rsidP="009C3274">
            <w:pPr>
              <w:jc w:val="center"/>
              <w:rPr>
                <w:rFonts w:ascii="Calibri" w:eastAsia="Times New Roman" w:hAnsi="Calibri" w:cs="Calibri"/>
                <w:b/>
                <w:bCs/>
                <w:color w:val="000000"/>
                <w:lang w:eastAsia="en-GB"/>
              </w:rPr>
            </w:pPr>
            <w:r w:rsidRPr="009C3274">
              <w:t>60.8%</w:t>
            </w:r>
          </w:p>
        </w:tc>
      </w:tr>
      <w:tr w:rsidR="009C3274" w:rsidRPr="009C3274" w14:paraId="54F371C1" w14:textId="77777777" w:rsidTr="009C3274">
        <w:trPr>
          <w:trHeight w:val="292"/>
        </w:trPr>
        <w:tc>
          <w:tcPr>
            <w:tcW w:w="2951" w:type="dxa"/>
            <w:noWrap/>
            <w:hideMark/>
          </w:tcPr>
          <w:p w14:paraId="4ED1AD51" w14:textId="77777777" w:rsidR="009C3274" w:rsidRPr="00792C55" w:rsidRDefault="009C3274" w:rsidP="009C3274">
            <w:pPr>
              <w:rPr>
                <w:rFonts w:ascii="Calibri" w:eastAsia="Times New Roman" w:hAnsi="Calibri" w:cs="Calibri"/>
                <w:color w:val="000000"/>
                <w:lang w:eastAsia="en-GB"/>
              </w:rPr>
            </w:pPr>
            <w:r w:rsidRPr="00792C55">
              <w:rPr>
                <w:rFonts w:ascii="Calibri" w:eastAsia="Times New Roman" w:hAnsi="Calibri" w:cs="Calibri"/>
                <w:color w:val="000000"/>
                <w:lang w:eastAsia="en-GB"/>
              </w:rPr>
              <w:t>GRADE C</w:t>
            </w:r>
          </w:p>
        </w:tc>
        <w:tc>
          <w:tcPr>
            <w:tcW w:w="1170" w:type="dxa"/>
            <w:noWrap/>
          </w:tcPr>
          <w:p w14:paraId="5CF2E194" w14:textId="60D99135" w:rsidR="009C3274" w:rsidRPr="009C3274" w:rsidRDefault="009C3274" w:rsidP="009C3274">
            <w:pPr>
              <w:jc w:val="center"/>
              <w:rPr>
                <w:rFonts w:ascii="Calibri" w:eastAsia="Times New Roman" w:hAnsi="Calibri" w:cs="Calibri"/>
                <w:b/>
                <w:bCs/>
                <w:color w:val="000000"/>
                <w:lang w:eastAsia="en-GB"/>
              </w:rPr>
            </w:pPr>
            <w:r w:rsidRPr="009C3274">
              <w:t>70.1%</w:t>
            </w:r>
          </w:p>
        </w:tc>
        <w:tc>
          <w:tcPr>
            <w:tcW w:w="1548" w:type="dxa"/>
            <w:noWrap/>
          </w:tcPr>
          <w:p w14:paraId="6CC4CCD8" w14:textId="77ACA234" w:rsidR="009C3274" w:rsidRPr="009C3274" w:rsidRDefault="009C3274" w:rsidP="009C3274">
            <w:pPr>
              <w:jc w:val="center"/>
              <w:rPr>
                <w:rFonts w:ascii="Calibri" w:eastAsia="Times New Roman" w:hAnsi="Calibri" w:cs="Calibri"/>
                <w:b/>
                <w:bCs/>
                <w:color w:val="000000"/>
                <w:lang w:eastAsia="en-GB"/>
              </w:rPr>
            </w:pPr>
            <w:r w:rsidRPr="009C3274">
              <w:t>29.9%</w:t>
            </w:r>
          </w:p>
        </w:tc>
      </w:tr>
      <w:tr w:rsidR="009C3274" w:rsidRPr="009C3274" w14:paraId="714938A7" w14:textId="77777777" w:rsidTr="009C3274">
        <w:trPr>
          <w:trHeight w:val="292"/>
        </w:trPr>
        <w:tc>
          <w:tcPr>
            <w:tcW w:w="2951" w:type="dxa"/>
            <w:noWrap/>
            <w:hideMark/>
          </w:tcPr>
          <w:p w14:paraId="3639BC60" w14:textId="77777777" w:rsidR="009C3274" w:rsidRPr="00792C55" w:rsidRDefault="009C3274" w:rsidP="009C3274">
            <w:pPr>
              <w:rPr>
                <w:rFonts w:ascii="Calibri" w:eastAsia="Times New Roman" w:hAnsi="Calibri" w:cs="Calibri"/>
                <w:color w:val="000000"/>
                <w:lang w:eastAsia="en-GB"/>
              </w:rPr>
            </w:pPr>
            <w:r w:rsidRPr="00792C55">
              <w:rPr>
                <w:rFonts w:ascii="Calibri" w:eastAsia="Times New Roman" w:hAnsi="Calibri" w:cs="Calibri"/>
                <w:color w:val="000000"/>
                <w:lang w:eastAsia="en-GB"/>
              </w:rPr>
              <w:t>GRADE D</w:t>
            </w:r>
          </w:p>
        </w:tc>
        <w:tc>
          <w:tcPr>
            <w:tcW w:w="1170" w:type="dxa"/>
            <w:noWrap/>
          </w:tcPr>
          <w:p w14:paraId="5FFC70A9" w14:textId="63C229D1" w:rsidR="009C3274" w:rsidRPr="009C3274" w:rsidRDefault="009C3274" w:rsidP="009C3274">
            <w:pPr>
              <w:jc w:val="center"/>
              <w:rPr>
                <w:rFonts w:ascii="Calibri" w:eastAsia="Times New Roman" w:hAnsi="Calibri" w:cs="Calibri"/>
                <w:b/>
                <w:bCs/>
                <w:color w:val="000000"/>
                <w:lang w:eastAsia="en-GB"/>
              </w:rPr>
            </w:pPr>
            <w:r w:rsidRPr="009C3274">
              <w:t>70.9%</w:t>
            </w:r>
          </w:p>
        </w:tc>
        <w:tc>
          <w:tcPr>
            <w:tcW w:w="1548" w:type="dxa"/>
            <w:noWrap/>
          </w:tcPr>
          <w:p w14:paraId="727AEFAA" w14:textId="34D78DCB" w:rsidR="009C3274" w:rsidRPr="009C3274" w:rsidRDefault="009C3274" w:rsidP="009C3274">
            <w:pPr>
              <w:jc w:val="center"/>
              <w:rPr>
                <w:rFonts w:ascii="Calibri" w:eastAsia="Times New Roman" w:hAnsi="Calibri" w:cs="Calibri"/>
                <w:b/>
                <w:bCs/>
                <w:color w:val="000000"/>
                <w:lang w:eastAsia="en-GB"/>
              </w:rPr>
            </w:pPr>
            <w:r w:rsidRPr="009C3274">
              <w:t>29.1%</w:t>
            </w:r>
          </w:p>
        </w:tc>
      </w:tr>
      <w:tr w:rsidR="009C3274" w:rsidRPr="009C3274" w14:paraId="42573814" w14:textId="77777777" w:rsidTr="009C3274">
        <w:trPr>
          <w:trHeight w:val="292"/>
        </w:trPr>
        <w:tc>
          <w:tcPr>
            <w:tcW w:w="2951" w:type="dxa"/>
            <w:noWrap/>
            <w:hideMark/>
          </w:tcPr>
          <w:p w14:paraId="36FC594E" w14:textId="77777777" w:rsidR="009C3274" w:rsidRPr="00792C55" w:rsidRDefault="009C3274" w:rsidP="009C3274">
            <w:pPr>
              <w:rPr>
                <w:rFonts w:ascii="Calibri" w:eastAsia="Times New Roman" w:hAnsi="Calibri" w:cs="Calibri"/>
                <w:color w:val="000000"/>
                <w:lang w:eastAsia="en-GB"/>
              </w:rPr>
            </w:pPr>
            <w:r w:rsidRPr="00792C55">
              <w:rPr>
                <w:rFonts w:ascii="Calibri" w:eastAsia="Times New Roman" w:hAnsi="Calibri" w:cs="Calibri"/>
                <w:color w:val="000000"/>
                <w:lang w:eastAsia="en-GB"/>
              </w:rPr>
              <w:t>GRADE E</w:t>
            </w:r>
          </w:p>
        </w:tc>
        <w:tc>
          <w:tcPr>
            <w:tcW w:w="1170" w:type="dxa"/>
            <w:noWrap/>
          </w:tcPr>
          <w:p w14:paraId="09FAD9C9" w14:textId="2ACB26F2" w:rsidR="009C3274" w:rsidRPr="009C3274" w:rsidRDefault="009C3274" w:rsidP="009C3274">
            <w:pPr>
              <w:jc w:val="center"/>
              <w:rPr>
                <w:rFonts w:ascii="Calibri" w:eastAsia="Times New Roman" w:hAnsi="Calibri" w:cs="Calibri"/>
                <w:b/>
                <w:bCs/>
                <w:color w:val="000000"/>
                <w:lang w:eastAsia="en-GB"/>
              </w:rPr>
            </w:pPr>
            <w:r w:rsidRPr="009C3274">
              <w:t>63.6%</w:t>
            </w:r>
          </w:p>
        </w:tc>
        <w:tc>
          <w:tcPr>
            <w:tcW w:w="1548" w:type="dxa"/>
            <w:noWrap/>
          </w:tcPr>
          <w:p w14:paraId="77819C54" w14:textId="4C67639C" w:rsidR="009C3274" w:rsidRPr="009C3274" w:rsidRDefault="009C3274" w:rsidP="009C3274">
            <w:pPr>
              <w:jc w:val="center"/>
              <w:rPr>
                <w:rFonts w:ascii="Calibri" w:eastAsia="Times New Roman" w:hAnsi="Calibri" w:cs="Calibri"/>
                <w:b/>
                <w:bCs/>
                <w:color w:val="000000"/>
                <w:lang w:eastAsia="en-GB"/>
              </w:rPr>
            </w:pPr>
            <w:r w:rsidRPr="009C3274">
              <w:t>36.4%</w:t>
            </w:r>
          </w:p>
        </w:tc>
      </w:tr>
      <w:tr w:rsidR="009C3274" w:rsidRPr="009C3274" w14:paraId="08B72FC7" w14:textId="77777777" w:rsidTr="009C3274">
        <w:trPr>
          <w:trHeight w:val="292"/>
        </w:trPr>
        <w:tc>
          <w:tcPr>
            <w:tcW w:w="2951" w:type="dxa"/>
            <w:noWrap/>
            <w:hideMark/>
          </w:tcPr>
          <w:p w14:paraId="4C1B9401" w14:textId="77777777" w:rsidR="009C3274" w:rsidRPr="00792C55" w:rsidRDefault="009C3274" w:rsidP="009C3274">
            <w:pPr>
              <w:rPr>
                <w:rFonts w:ascii="Calibri" w:eastAsia="Times New Roman" w:hAnsi="Calibri" w:cs="Calibri"/>
                <w:color w:val="000000"/>
                <w:lang w:eastAsia="en-GB"/>
              </w:rPr>
            </w:pPr>
            <w:r w:rsidRPr="00792C55">
              <w:rPr>
                <w:rFonts w:ascii="Calibri" w:eastAsia="Times New Roman" w:hAnsi="Calibri" w:cs="Calibri"/>
                <w:color w:val="000000"/>
                <w:lang w:eastAsia="en-GB"/>
              </w:rPr>
              <w:t>GRADE F</w:t>
            </w:r>
          </w:p>
        </w:tc>
        <w:tc>
          <w:tcPr>
            <w:tcW w:w="1170" w:type="dxa"/>
            <w:noWrap/>
          </w:tcPr>
          <w:p w14:paraId="5909B930" w14:textId="4EA1DA98" w:rsidR="009C3274" w:rsidRPr="009C3274" w:rsidRDefault="009C3274" w:rsidP="009C3274">
            <w:pPr>
              <w:jc w:val="center"/>
              <w:rPr>
                <w:rFonts w:ascii="Calibri" w:eastAsia="Times New Roman" w:hAnsi="Calibri" w:cs="Calibri"/>
                <w:b/>
                <w:bCs/>
                <w:color w:val="000000"/>
                <w:lang w:eastAsia="en-GB"/>
              </w:rPr>
            </w:pPr>
            <w:r w:rsidRPr="009C3274">
              <w:t>62.8%</w:t>
            </w:r>
          </w:p>
        </w:tc>
        <w:tc>
          <w:tcPr>
            <w:tcW w:w="1548" w:type="dxa"/>
            <w:noWrap/>
          </w:tcPr>
          <w:p w14:paraId="65124392" w14:textId="356540B9" w:rsidR="009C3274" w:rsidRPr="009C3274" w:rsidRDefault="009C3274" w:rsidP="009C3274">
            <w:pPr>
              <w:jc w:val="center"/>
              <w:rPr>
                <w:rFonts w:ascii="Calibri" w:eastAsia="Times New Roman" w:hAnsi="Calibri" w:cs="Calibri"/>
                <w:b/>
                <w:bCs/>
                <w:color w:val="000000"/>
                <w:lang w:eastAsia="en-GB"/>
              </w:rPr>
            </w:pPr>
            <w:r w:rsidRPr="009C3274">
              <w:t>37.3%</w:t>
            </w:r>
          </w:p>
        </w:tc>
      </w:tr>
      <w:tr w:rsidR="009C3274" w:rsidRPr="009C3274" w14:paraId="477C7598" w14:textId="77777777" w:rsidTr="009C3274">
        <w:trPr>
          <w:trHeight w:val="292"/>
        </w:trPr>
        <w:tc>
          <w:tcPr>
            <w:tcW w:w="2951" w:type="dxa"/>
            <w:noWrap/>
            <w:hideMark/>
          </w:tcPr>
          <w:p w14:paraId="7F4BE5EB" w14:textId="77777777" w:rsidR="009C3274" w:rsidRPr="00792C55" w:rsidRDefault="009C3274" w:rsidP="009C3274">
            <w:pPr>
              <w:rPr>
                <w:rFonts w:ascii="Calibri" w:eastAsia="Times New Roman" w:hAnsi="Calibri" w:cs="Calibri"/>
                <w:color w:val="000000"/>
                <w:lang w:eastAsia="en-GB"/>
              </w:rPr>
            </w:pPr>
            <w:r w:rsidRPr="00792C55">
              <w:rPr>
                <w:rFonts w:ascii="Calibri" w:eastAsia="Times New Roman" w:hAnsi="Calibri" w:cs="Calibri"/>
                <w:color w:val="000000"/>
                <w:lang w:eastAsia="en-GB"/>
              </w:rPr>
              <w:t>GRADE G</w:t>
            </w:r>
          </w:p>
        </w:tc>
        <w:tc>
          <w:tcPr>
            <w:tcW w:w="1170" w:type="dxa"/>
            <w:noWrap/>
          </w:tcPr>
          <w:p w14:paraId="1DC05EAF" w14:textId="324BDA67" w:rsidR="009C3274" w:rsidRPr="009C3274" w:rsidRDefault="009C3274" w:rsidP="009C3274">
            <w:pPr>
              <w:jc w:val="center"/>
              <w:rPr>
                <w:rFonts w:ascii="Calibri" w:eastAsia="Times New Roman" w:hAnsi="Calibri" w:cs="Calibri"/>
                <w:b/>
                <w:bCs/>
                <w:color w:val="000000"/>
                <w:lang w:eastAsia="en-GB"/>
              </w:rPr>
            </w:pPr>
            <w:r w:rsidRPr="009C3274">
              <w:t>57.2%</w:t>
            </w:r>
          </w:p>
        </w:tc>
        <w:tc>
          <w:tcPr>
            <w:tcW w:w="1548" w:type="dxa"/>
            <w:noWrap/>
          </w:tcPr>
          <w:p w14:paraId="77FD3238" w14:textId="0870C603" w:rsidR="009C3274" w:rsidRPr="009C3274" w:rsidRDefault="009C3274" w:rsidP="009C3274">
            <w:pPr>
              <w:jc w:val="center"/>
              <w:rPr>
                <w:rFonts w:ascii="Calibri" w:eastAsia="Times New Roman" w:hAnsi="Calibri" w:cs="Calibri"/>
                <w:b/>
                <w:bCs/>
                <w:color w:val="000000"/>
                <w:lang w:eastAsia="en-GB"/>
              </w:rPr>
            </w:pPr>
            <w:r w:rsidRPr="009C3274">
              <w:t>42.8%</w:t>
            </w:r>
          </w:p>
        </w:tc>
      </w:tr>
      <w:tr w:rsidR="009C3274" w:rsidRPr="009C3274" w14:paraId="639AF9B7" w14:textId="77777777" w:rsidTr="009C3274">
        <w:trPr>
          <w:trHeight w:val="292"/>
        </w:trPr>
        <w:tc>
          <w:tcPr>
            <w:tcW w:w="2951" w:type="dxa"/>
            <w:noWrap/>
            <w:hideMark/>
          </w:tcPr>
          <w:p w14:paraId="53BF6382" w14:textId="77777777" w:rsidR="009C3274" w:rsidRPr="00792C55" w:rsidRDefault="009C3274" w:rsidP="009C3274">
            <w:pPr>
              <w:rPr>
                <w:rFonts w:ascii="Calibri" w:eastAsia="Times New Roman" w:hAnsi="Calibri" w:cs="Calibri"/>
                <w:color w:val="000000"/>
                <w:lang w:eastAsia="en-GB"/>
              </w:rPr>
            </w:pPr>
            <w:r w:rsidRPr="00792C55">
              <w:rPr>
                <w:rFonts w:ascii="Calibri" w:eastAsia="Times New Roman" w:hAnsi="Calibri" w:cs="Calibri"/>
                <w:color w:val="000000"/>
                <w:lang w:eastAsia="en-GB"/>
              </w:rPr>
              <w:t>GRADE H</w:t>
            </w:r>
          </w:p>
        </w:tc>
        <w:tc>
          <w:tcPr>
            <w:tcW w:w="1170" w:type="dxa"/>
            <w:noWrap/>
          </w:tcPr>
          <w:p w14:paraId="7059464B" w14:textId="23066B73" w:rsidR="009C3274" w:rsidRPr="009C3274" w:rsidRDefault="009C3274" w:rsidP="009C3274">
            <w:pPr>
              <w:jc w:val="center"/>
              <w:rPr>
                <w:rFonts w:ascii="Calibri" w:eastAsia="Times New Roman" w:hAnsi="Calibri" w:cs="Calibri"/>
                <w:b/>
                <w:bCs/>
                <w:color w:val="000000"/>
                <w:lang w:eastAsia="en-GB"/>
              </w:rPr>
            </w:pPr>
            <w:r w:rsidRPr="009C3274">
              <w:t>58.1%</w:t>
            </w:r>
          </w:p>
        </w:tc>
        <w:tc>
          <w:tcPr>
            <w:tcW w:w="1548" w:type="dxa"/>
            <w:noWrap/>
          </w:tcPr>
          <w:p w14:paraId="2BEAA3CF" w14:textId="69691B88" w:rsidR="009C3274" w:rsidRPr="009C3274" w:rsidRDefault="009C3274" w:rsidP="009C3274">
            <w:pPr>
              <w:jc w:val="center"/>
              <w:rPr>
                <w:rFonts w:ascii="Calibri" w:eastAsia="Times New Roman" w:hAnsi="Calibri" w:cs="Calibri"/>
                <w:b/>
                <w:bCs/>
                <w:color w:val="000000"/>
                <w:lang w:eastAsia="en-GB"/>
              </w:rPr>
            </w:pPr>
            <w:r w:rsidRPr="009C3274">
              <w:t>41.9%</w:t>
            </w:r>
          </w:p>
        </w:tc>
      </w:tr>
      <w:tr w:rsidR="009C3274" w:rsidRPr="009C3274" w14:paraId="537AC122" w14:textId="77777777" w:rsidTr="009C3274">
        <w:trPr>
          <w:trHeight w:val="292"/>
        </w:trPr>
        <w:tc>
          <w:tcPr>
            <w:tcW w:w="2951" w:type="dxa"/>
            <w:noWrap/>
            <w:hideMark/>
          </w:tcPr>
          <w:p w14:paraId="15EBE9A1" w14:textId="77777777" w:rsidR="009C3274" w:rsidRPr="00792C55" w:rsidRDefault="009C3274" w:rsidP="009C3274">
            <w:pPr>
              <w:rPr>
                <w:rFonts w:ascii="Calibri" w:eastAsia="Times New Roman" w:hAnsi="Calibri" w:cs="Calibri"/>
                <w:color w:val="000000"/>
                <w:lang w:eastAsia="en-GB"/>
              </w:rPr>
            </w:pPr>
            <w:r w:rsidRPr="00792C55">
              <w:rPr>
                <w:rFonts w:ascii="Calibri" w:eastAsia="Times New Roman" w:hAnsi="Calibri" w:cs="Calibri"/>
                <w:color w:val="000000"/>
                <w:lang w:eastAsia="en-GB"/>
              </w:rPr>
              <w:t>GRADE I</w:t>
            </w:r>
          </w:p>
        </w:tc>
        <w:tc>
          <w:tcPr>
            <w:tcW w:w="1170" w:type="dxa"/>
            <w:noWrap/>
          </w:tcPr>
          <w:p w14:paraId="166E94D7" w14:textId="4854DFF0" w:rsidR="009C3274" w:rsidRPr="009C3274" w:rsidRDefault="009C3274" w:rsidP="009C3274">
            <w:pPr>
              <w:jc w:val="center"/>
              <w:rPr>
                <w:rFonts w:ascii="Calibri" w:eastAsia="Times New Roman" w:hAnsi="Calibri" w:cs="Calibri"/>
                <w:b/>
                <w:bCs/>
                <w:color w:val="000000"/>
                <w:lang w:eastAsia="en-GB"/>
              </w:rPr>
            </w:pPr>
            <w:r w:rsidRPr="009C3274">
              <w:t>53.7%</w:t>
            </w:r>
          </w:p>
        </w:tc>
        <w:tc>
          <w:tcPr>
            <w:tcW w:w="1548" w:type="dxa"/>
            <w:noWrap/>
          </w:tcPr>
          <w:p w14:paraId="2B50BD4B" w14:textId="00522453" w:rsidR="009C3274" w:rsidRPr="009C3274" w:rsidRDefault="009C3274" w:rsidP="009C3274">
            <w:pPr>
              <w:jc w:val="center"/>
              <w:rPr>
                <w:rFonts w:ascii="Calibri" w:eastAsia="Times New Roman" w:hAnsi="Calibri" w:cs="Calibri"/>
                <w:b/>
                <w:bCs/>
                <w:color w:val="000000"/>
                <w:lang w:eastAsia="en-GB"/>
              </w:rPr>
            </w:pPr>
            <w:r w:rsidRPr="009C3274">
              <w:t>46.3%</w:t>
            </w:r>
          </w:p>
        </w:tc>
      </w:tr>
    </w:tbl>
    <w:p w14:paraId="255FC1D4" w14:textId="77777777" w:rsidR="00DE7D50" w:rsidRPr="009C3274" w:rsidRDefault="00DE7D50" w:rsidP="3905B53E">
      <w:pPr>
        <w:spacing w:line="257" w:lineRule="auto"/>
        <w:rPr>
          <w:rFonts w:ascii="Calibri" w:eastAsia="Calibri" w:hAnsi="Calibri" w:cs="Calibri"/>
          <w:b/>
          <w:bCs/>
        </w:rPr>
      </w:pPr>
    </w:p>
    <w:p w14:paraId="733881BA" w14:textId="3EC5711F" w:rsidR="3905B53E" w:rsidRDefault="000575F3" w:rsidP="000575F3">
      <w:pPr>
        <w:spacing w:line="257" w:lineRule="auto"/>
        <w:rPr>
          <w:rFonts w:ascii="Calibri" w:eastAsia="Calibri" w:hAnsi="Calibri" w:cs="Calibri"/>
        </w:rPr>
      </w:pPr>
      <w:r w:rsidRPr="000575F3">
        <w:rPr>
          <w:rFonts w:ascii="Calibri" w:eastAsia="Calibri" w:hAnsi="Calibri" w:cs="Calibri"/>
        </w:rPr>
        <w:t>The proportions of female and male colleagues who were on fixed-term and open-ended contracts at the 2021 snapshot date were broadly proportionate to their overall representation in our workforce. Female colleagues made-up 56.5% and 55.7% of fixed-term and open-ended contracts, respectively. Whilst male colleagues made-up 43.6% and 44.3% of fixed-term and open-ended contracts, respectively. Female colleagues made-up the largest proportion of those working part-time (74.7%) and a slightly larger percentage of those who worked full-time (50.1%).</w:t>
      </w:r>
    </w:p>
    <w:p w14:paraId="457A8CE3" w14:textId="67C11DEB" w:rsidR="71DF1E09" w:rsidRDefault="71DF1E09" w:rsidP="53766C39">
      <w:pPr>
        <w:pStyle w:val="Heading2"/>
        <w:rPr>
          <w:rFonts w:ascii="Calibri Light" w:hAnsi="Calibri Light"/>
          <w:b/>
          <w:bCs/>
        </w:rPr>
      </w:pPr>
      <w:bookmarkStart w:id="201" w:name="_Toc86832942"/>
      <w:bookmarkStart w:id="202" w:name="_Toc94185460"/>
      <w:r w:rsidRPr="53766C39">
        <w:rPr>
          <w:b/>
          <w:bCs/>
        </w:rPr>
        <w:t>Sexual</w:t>
      </w:r>
      <w:r w:rsidR="4101698A" w:rsidRPr="53766C39">
        <w:rPr>
          <w:b/>
          <w:bCs/>
        </w:rPr>
        <w:t xml:space="preserve"> orientation</w:t>
      </w:r>
      <w:bookmarkEnd w:id="201"/>
      <w:bookmarkEnd w:id="202"/>
      <w:r w:rsidR="4101698A" w:rsidRPr="53766C39">
        <w:rPr>
          <w:b/>
          <w:bCs/>
        </w:rPr>
        <w:t xml:space="preserve"> </w:t>
      </w:r>
    </w:p>
    <w:p w14:paraId="009C47AA" w14:textId="66B8A632" w:rsidR="2ABCE12C" w:rsidRDefault="00D138E8" w:rsidP="00D138E8">
      <w:pPr>
        <w:rPr>
          <w:rFonts w:ascii="Calibri" w:eastAsia="Calibri" w:hAnsi="Calibri" w:cs="Calibri"/>
        </w:rPr>
      </w:pPr>
      <w:r>
        <w:t xml:space="preserve">At the 2022 snapshot date (Table 55), 3.5% of colleagues were recorded as LGB+ (Lesbian, Gay, Bisexual and other sexualities, excluding heterosexual), which is a 1% increase on 2021 and a 2.1% increase since 2017. Within the overall 3.5% recorded as LGB+, 1.5% of colleagues selected Bisexual, 1.1% gay men, 0.7% gay women/lesbian, and the remaining 0.3% of all colleagues selected another sexuality. 33.6% of colleagues were recorded as heterosexual, this is an increase of 11.8% since 2017. 4.8% of colleagues chose to select prefer not to say and we had no response for 58% of </w:t>
      </w:r>
      <w:r>
        <w:lastRenderedPageBreak/>
        <w:t>colleagues. This is a higher proportion than the sector benchmark among those institutions that returned data on this characteristic to HESA for 2020/21, who collectively had no recorded response for 30.0% of their colleagues for this characteristic (Advance HE 2022). However, our return rate has continued to improve since 2018.</w:t>
      </w:r>
    </w:p>
    <w:p w14:paraId="76357BCB" w14:textId="6D15C3AC" w:rsidR="002C7EE8" w:rsidRDefault="002C7EE8" w:rsidP="7AEB4F77">
      <w:pPr>
        <w:rPr>
          <w:rFonts w:ascii="Calibri" w:eastAsia="Calibri" w:hAnsi="Calibri" w:cs="Calibri"/>
        </w:rPr>
      </w:pPr>
      <w:r w:rsidRPr="002C7EE8">
        <w:rPr>
          <w:rFonts w:ascii="Calibri" w:eastAsia="Times New Roman" w:hAnsi="Calibri" w:cs="Calibri"/>
          <w:b/>
          <w:bCs/>
          <w:color w:val="000000"/>
          <w:lang w:eastAsia="en-GB"/>
        </w:rPr>
        <w:t>Table:</w:t>
      </w:r>
      <w:r w:rsidRPr="00776768">
        <w:rPr>
          <w:rFonts w:ascii="Calibri" w:eastAsia="Times New Roman" w:hAnsi="Calibri" w:cs="Calibri"/>
          <w:color w:val="000000"/>
          <w:lang w:eastAsia="en-GB"/>
        </w:rPr>
        <w:t> </w:t>
      </w:r>
      <w:r w:rsidR="00792C55" w:rsidRPr="00792C55">
        <w:rPr>
          <w:rFonts w:ascii="Calibri" w:eastAsia="Times New Roman" w:hAnsi="Calibri" w:cs="Calibri"/>
          <w:b/>
          <w:bCs/>
          <w:color w:val="000000"/>
          <w:lang w:eastAsia="en-GB"/>
        </w:rPr>
        <w:t>All colleague sexual orientation over time</w:t>
      </w:r>
      <w:r w:rsidR="00792C55">
        <w:rPr>
          <w:rFonts w:ascii="Calibri" w:eastAsia="Times New Roman" w:hAnsi="Calibri" w:cs="Calibri"/>
          <w:b/>
          <w:bCs/>
          <w:color w:val="000000"/>
          <w:lang w:eastAsia="en-GB"/>
        </w:rPr>
        <w:t>.</w:t>
      </w:r>
    </w:p>
    <w:tbl>
      <w:tblPr>
        <w:tblStyle w:val="TableGrid"/>
        <w:tblW w:w="9016" w:type="dxa"/>
        <w:tblLayout w:type="fixed"/>
        <w:tblLook w:val="04A0" w:firstRow="1" w:lastRow="0" w:firstColumn="1" w:lastColumn="0" w:noHBand="0" w:noVBand="1"/>
      </w:tblPr>
      <w:tblGrid>
        <w:gridCol w:w="2263"/>
        <w:gridCol w:w="1125"/>
        <w:gridCol w:w="1126"/>
        <w:gridCol w:w="1125"/>
        <w:gridCol w:w="1126"/>
        <w:gridCol w:w="1125"/>
        <w:gridCol w:w="1126"/>
      </w:tblGrid>
      <w:tr w:rsidR="00792C55" w:rsidRPr="00D138E8" w14:paraId="5423E89C" w14:textId="4BA9CB94" w:rsidTr="00792C55">
        <w:trPr>
          <w:trHeight w:val="400"/>
        </w:trPr>
        <w:tc>
          <w:tcPr>
            <w:tcW w:w="2263" w:type="dxa"/>
            <w:noWrap/>
            <w:hideMark/>
          </w:tcPr>
          <w:p w14:paraId="48E6EDC2" w14:textId="41E79B97" w:rsidR="00792C55" w:rsidRPr="00792C55" w:rsidRDefault="00792C55" w:rsidP="00792C55">
            <w:pPr>
              <w:rPr>
                <w:rFonts w:ascii="Calibri" w:eastAsia="Times New Roman" w:hAnsi="Calibri" w:cs="Calibri"/>
                <w:b/>
                <w:bCs/>
                <w:color w:val="000000"/>
                <w:lang w:eastAsia="en-GB"/>
              </w:rPr>
            </w:pPr>
            <w:r w:rsidRPr="00792C55">
              <w:rPr>
                <w:rFonts w:ascii="Calibri" w:eastAsia="Times New Roman" w:hAnsi="Calibri" w:cs="Calibri"/>
                <w:b/>
                <w:bCs/>
                <w:color w:val="000000"/>
                <w:lang w:eastAsia="en-GB"/>
              </w:rPr>
              <w:t>Sexual orientation </w:t>
            </w:r>
          </w:p>
        </w:tc>
        <w:tc>
          <w:tcPr>
            <w:tcW w:w="1125" w:type="dxa"/>
            <w:noWrap/>
            <w:hideMark/>
          </w:tcPr>
          <w:p w14:paraId="0524141A" w14:textId="02C045D6" w:rsidR="00792C55" w:rsidRPr="00792C55" w:rsidRDefault="00792C55" w:rsidP="00792C55">
            <w:pPr>
              <w:jc w:val="center"/>
              <w:rPr>
                <w:rFonts w:ascii="Calibri" w:eastAsia="Times New Roman" w:hAnsi="Calibri" w:cs="Calibri"/>
                <w:b/>
                <w:bCs/>
                <w:color w:val="000000"/>
                <w:lang w:eastAsia="en-GB"/>
              </w:rPr>
            </w:pPr>
            <w:r w:rsidRPr="00792C55">
              <w:rPr>
                <w:rFonts w:ascii="Calibri" w:hAnsi="Calibri" w:cs="Calibri"/>
                <w:b/>
                <w:bCs/>
                <w:color w:val="000000"/>
              </w:rPr>
              <w:t>2017</w:t>
            </w:r>
          </w:p>
        </w:tc>
        <w:tc>
          <w:tcPr>
            <w:tcW w:w="1126" w:type="dxa"/>
          </w:tcPr>
          <w:p w14:paraId="68493866" w14:textId="3372F711" w:rsidR="00792C55" w:rsidRPr="00792C55" w:rsidRDefault="00792C55" w:rsidP="00792C55">
            <w:pPr>
              <w:jc w:val="center"/>
              <w:rPr>
                <w:rFonts w:ascii="Calibri" w:eastAsia="Times New Roman" w:hAnsi="Calibri" w:cs="Calibri"/>
                <w:b/>
                <w:bCs/>
                <w:color w:val="000000"/>
                <w:lang w:eastAsia="en-GB"/>
              </w:rPr>
            </w:pPr>
            <w:r w:rsidRPr="00792C55">
              <w:rPr>
                <w:rFonts w:ascii="Calibri" w:hAnsi="Calibri" w:cs="Calibri"/>
                <w:b/>
                <w:bCs/>
                <w:color w:val="000000"/>
              </w:rPr>
              <w:t>2018</w:t>
            </w:r>
          </w:p>
        </w:tc>
        <w:tc>
          <w:tcPr>
            <w:tcW w:w="1125" w:type="dxa"/>
          </w:tcPr>
          <w:p w14:paraId="09817E56" w14:textId="45ADBC0B" w:rsidR="00792C55" w:rsidRPr="00792C55" w:rsidRDefault="00792C55" w:rsidP="00792C55">
            <w:pPr>
              <w:jc w:val="center"/>
              <w:rPr>
                <w:rFonts w:ascii="Calibri" w:eastAsia="Times New Roman" w:hAnsi="Calibri" w:cs="Calibri"/>
                <w:b/>
                <w:bCs/>
                <w:color w:val="000000"/>
                <w:lang w:eastAsia="en-GB"/>
              </w:rPr>
            </w:pPr>
            <w:r w:rsidRPr="00792C55">
              <w:rPr>
                <w:rFonts w:ascii="Calibri" w:hAnsi="Calibri" w:cs="Calibri"/>
                <w:b/>
                <w:bCs/>
                <w:color w:val="000000"/>
              </w:rPr>
              <w:t>2019</w:t>
            </w:r>
          </w:p>
        </w:tc>
        <w:tc>
          <w:tcPr>
            <w:tcW w:w="1126" w:type="dxa"/>
          </w:tcPr>
          <w:p w14:paraId="03EF91CE" w14:textId="50CDC174" w:rsidR="00792C55" w:rsidRPr="00792C55" w:rsidRDefault="00792C55" w:rsidP="00792C55">
            <w:pPr>
              <w:jc w:val="center"/>
              <w:rPr>
                <w:rFonts w:ascii="Calibri" w:eastAsia="Times New Roman" w:hAnsi="Calibri" w:cs="Calibri"/>
                <w:b/>
                <w:bCs/>
                <w:color w:val="000000"/>
                <w:lang w:eastAsia="en-GB"/>
              </w:rPr>
            </w:pPr>
            <w:r w:rsidRPr="00792C55">
              <w:rPr>
                <w:rFonts w:ascii="Calibri" w:hAnsi="Calibri" w:cs="Calibri"/>
                <w:b/>
                <w:bCs/>
                <w:color w:val="000000"/>
              </w:rPr>
              <w:t>2020</w:t>
            </w:r>
          </w:p>
        </w:tc>
        <w:tc>
          <w:tcPr>
            <w:tcW w:w="1125" w:type="dxa"/>
          </w:tcPr>
          <w:p w14:paraId="10976FB3" w14:textId="48A6361E" w:rsidR="00792C55" w:rsidRPr="00792C55" w:rsidRDefault="00792C55" w:rsidP="00792C55">
            <w:pPr>
              <w:jc w:val="center"/>
              <w:rPr>
                <w:rFonts w:ascii="Calibri" w:eastAsia="Times New Roman" w:hAnsi="Calibri" w:cs="Calibri"/>
                <w:b/>
                <w:bCs/>
                <w:color w:val="000000"/>
                <w:lang w:eastAsia="en-GB"/>
              </w:rPr>
            </w:pPr>
            <w:r w:rsidRPr="00792C55">
              <w:rPr>
                <w:rFonts w:ascii="Calibri" w:hAnsi="Calibri" w:cs="Calibri"/>
                <w:b/>
                <w:bCs/>
                <w:color w:val="000000"/>
              </w:rPr>
              <w:t>2021</w:t>
            </w:r>
          </w:p>
        </w:tc>
        <w:tc>
          <w:tcPr>
            <w:tcW w:w="1126" w:type="dxa"/>
          </w:tcPr>
          <w:p w14:paraId="4BF3CA6D" w14:textId="2B76E9DA" w:rsidR="00792C55" w:rsidRPr="00792C55" w:rsidRDefault="00792C55" w:rsidP="00792C55">
            <w:pPr>
              <w:jc w:val="center"/>
              <w:rPr>
                <w:rFonts w:ascii="Calibri" w:eastAsia="Times New Roman" w:hAnsi="Calibri" w:cs="Calibri"/>
                <w:b/>
                <w:bCs/>
                <w:color w:val="000000"/>
                <w:lang w:eastAsia="en-GB"/>
              </w:rPr>
            </w:pPr>
            <w:r w:rsidRPr="00792C55">
              <w:rPr>
                <w:rFonts w:ascii="Calibri" w:hAnsi="Calibri" w:cs="Calibri"/>
                <w:b/>
                <w:bCs/>
                <w:color w:val="000000"/>
              </w:rPr>
              <w:t>2022</w:t>
            </w:r>
          </w:p>
        </w:tc>
      </w:tr>
      <w:tr w:rsidR="00792C55" w:rsidRPr="00D138E8" w14:paraId="4D70EB44" w14:textId="62A99362" w:rsidTr="000A7017">
        <w:trPr>
          <w:trHeight w:val="300"/>
        </w:trPr>
        <w:tc>
          <w:tcPr>
            <w:tcW w:w="2263" w:type="dxa"/>
            <w:noWrap/>
            <w:hideMark/>
          </w:tcPr>
          <w:p w14:paraId="009F873C" w14:textId="77777777" w:rsidR="00792C55" w:rsidRPr="00792C55" w:rsidRDefault="00792C55" w:rsidP="00792C55">
            <w:pPr>
              <w:rPr>
                <w:rFonts w:ascii="Calibri" w:eastAsia="Times New Roman" w:hAnsi="Calibri" w:cs="Calibri"/>
                <w:color w:val="000000"/>
                <w:lang w:eastAsia="en-GB"/>
              </w:rPr>
            </w:pPr>
            <w:r w:rsidRPr="00792C55">
              <w:rPr>
                <w:rFonts w:ascii="Calibri" w:eastAsia="Times New Roman" w:hAnsi="Calibri" w:cs="Calibri"/>
                <w:color w:val="000000"/>
                <w:lang w:eastAsia="en-GB"/>
              </w:rPr>
              <w:t>Bisexual</w:t>
            </w:r>
          </w:p>
        </w:tc>
        <w:tc>
          <w:tcPr>
            <w:tcW w:w="1125" w:type="dxa"/>
            <w:noWrap/>
            <w:vAlign w:val="bottom"/>
          </w:tcPr>
          <w:p w14:paraId="79DA796B" w14:textId="72281FF7" w:rsidR="00792C55" w:rsidRPr="00792C55" w:rsidRDefault="00792C55" w:rsidP="00792C55">
            <w:pPr>
              <w:jc w:val="center"/>
              <w:rPr>
                <w:rFonts w:ascii="Calibri" w:eastAsia="Times New Roman" w:hAnsi="Calibri" w:cs="Calibri"/>
                <w:color w:val="000000"/>
                <w:lang w:eastAsia="en-GB"/>
              </w:rPr>
            </w:pPr>
            <w:r>
              <w:rPr>
                <w:rFonts w:ascii="Calibri" w:hAnsi="Calibri" w:cs="Calibri"/>
                <w:color w:val="000000"/>
              </w:rPr>
              <w:t>0.5%</w:t>
            </w:r>
          </w:p>
        </w:tc>
        <w:tc>
          <w:tcPr>
            <w:tcW w:w="1126" w:type="dxa"/>
            <w:vAlign w:val="bottom"/>
          </w:tcPr>
          <w:p w14:paraId="5F10D242" w14:textId="085F2EA9" w:rsidR="00792C55" w:rsidRPr="00792C55" w:rsidRDefault="00792C55" w:rsidP="00792C55">
            <w:pPr>
              <w:jc w:val="center"/>
              <w:rPr>
                <w:rFonts w:ascii="Calibri" w:hAnsi="Calibri" w:cs="Calibri"/>
                <w:color w:val="000000"/>
              </w:rPr>
            </w:pPr>
            <w:r>
              <w:rPr>
                <w:rFonts w:ascii="Calibri" w:hAnsi="Calibri" w:cs="Calibri"/>
                <w:color w:val="000000"/>
              </w:rPr>
              <w:t>0.6%</w:t>
            </w:r>
          </w:p>
        </w:tc>
        <w:tc>
          <w:tcPr>
            <w:tcW w:w="1125" w:type="dxa"/>
            <w:vAlign w:val="bottom"/>
          </w:tcPr>
          <w:p w14:paraId="5202552C" w14:textId="468DBA79" w:rsidR="00792C55" w:rsidRPr="00792C55" w:rsidRDefault="00792C55" w:rsidP="00792C55">
            <w:pPr>
              <w:jc w:val="center"/>
              <w:rPr>
                <w:rFonts w:ascii="Calibri" w:hAnsi="Calibri" w:cs="Calibri"/>
                <w:color w:val="000000"/>
              </w:rPr>
            </w:pPr>
            <w:r>
              <w:rPr>
                <w:rFonts w:ascii="Calibri" w:hAnsi="Calibri" w:cs="Calibri"/>
                <w:color w:val="000000"/>
              </w:rPr>
              <w:t>0.6%</w:t>
            </w:r>
          </w:p>
        </w:tc>
        <w:tc>
          <w:tcPr>
            <w:tcW w:w="1126" w:type="dxa"/>
            <w:vAlign w:val="bottom"/>
          </w:tcPr>
          <w:p w14:paraId="15CA3138" w14:textId="46378CD2" w:rsidR="00792C55" w:rsidRPr="00792C55" w:rsidRDefault="00792C55" w:rsidP="00792C55">
            <w:pPr>
              <w:jc w:val="center"/>
              <w:rPr>
                <w:rFonts w:ascii="Calibri" w:hAnsi="Calibri" w:cs="Calibri"/>
                <w:color w:val="000000"/>
              </w:rPr>
            </w:pPr>
            <w:r>
              <w:rPr>
                <w:rFonts w:ascii="Calibri" w:hAnsi="Calibri" w:cs="Calibri"/>
                <w:color w:val="000000"/>
              </w:rPr>
              <w:t>0.8%</w:t>
            </w:r>
          </w:p>
        </w:tc>
        <w:tc>
          <w:tcPr>
            <w:tcW w:w="1125" w:type="dxa"/>
            <w:vAlign w:val="bottom"/>
          </w:tcPr>
          <w:p w14:paraId="7C724D6F" w14:textId="5C223E76" w:rsidR="00792C55" w:rsidRPr="00792C55" w:rsidRDefault="00792C55" w:rsidP="00792C55">
            <w:pPr>
              <w:jc w:val="center"/>
              <w:rPr>
                <w:rFonts w:ascii="Calibri" w:hAnsi="Calibri" w:cs="Calibri"/>
                <w:color w:val="000000"/>
              </w:rPr>
            </w:pPr>
            <w:r>
              <w:rPr>
                <w:rFonts w:ascii="Calibri" w:hAnsi="Calibri" w:cs="Calibri"/>
                <w:color w:val="000000"/>
              </w:rPr>
              <w:t>1.0%</w:t>
            </w:r>
          </w:p>
        </w:tc>
        <w:tc>
          <w:tcPr>
            <w:tcW w:w="1126" w:type="dxa"/>
            <w:vAlign w:val="bottom"/>
          </w:tcPr>
          <w:p w14:paraId="1E880400" w14:textId="604E4DF2" w:rsidR="00792C55" w:rsidRPr="00792C55" w:rsidRDefault="00792C55" w:rsidP="00792C55">
            <w:pPr>
              <w:jc w:val="center"/>
              <w:rPr>
                <w:rFonts w:ascii="Calibri" w:hAnsi="Calibri" w:cs="Calibri"/>
                <w:color w:val="000000"/>
              </w:rPr>
            </w:pPr>
            <w:r>
              <w:rPr>
                <w:rFonts w:ascii="Calibri" w:hAnsi="Calibri" w:cs="Calibri"/>
                <w:color w:val="000000"/>
              </w:rPr>
              <w:t>98</w:t>
            </w:r>
          </w:p>
        </w:tc>
      </w:tr>
      <w:tr w:rsidR="00792C55" w:rsidRPr="00D138E8" w14:paraId="1C000502" w14:textId="630E2EF7" w:rsidTr="000A7017">
        <w:trPr>
          <w:trHeight w:val="290"/>
        </w:trPr>
        <w:tc>
          <w:tcPr>
            <w:tcW w:w="2263" w:type="dxa"/>
            <w:noWrap/>
            <w:hideMark/>
          </w:tcPr>
          <w:p w14:paraId="7FFE7108" w14:textId="77777777" w:rsidR="00792C55" w:rsidRPr="00792C55" w:rsidRDefault="00792C55" w:rsidP="00792C55">
            <w:pPr>
              <w:rPr>
                <w:rFonts w:ascii="Calibri" w:eastAsia="Times New Roman" w:hAnsi="Calibri" w:cs="Calibri"/>
                <w:color w:val="000000"/>
                <w:lang w:eastAsia="en-GB"/>
              </w:rPr>
            </w:pPr>
            <w:r w:rsidRPr="00792C55">
              <w:rPr>
                <w:rFonts w:ascii="Calibri" w:eastAsia="Times New Roman" w:hAnsi="Calibri" w:cs="Calibri"/>
                <w:color w:val="000000"/>
                <w:lang w:eastAsia="en-GB"/>
              </w:rPr>
              <w:t>Gay man</w:t>
            </w:r>
          </w:p>
        </w:tc>
        <w:tc>
          <w:tcPr>
            <w:tcW w:w="1125" w:type="dxa"/>
            <w:noWrap/>
            <w:vAlign w:val="bottom"/>
          </w:tcPr>
          <w:p w14:paraId="076A81BE" w14:textId="37113673" w:rsidR="00792C55" w:rsidRPr="00792C55" w:rsidRDefault="00792C55" w:rsidP="00792C55">
            <w:pPr>
              <w:jc w:val="center"/>
              <w:rPr>
                <w:rFonts w:ascii="Calibri" w:eastAsia="Times New Roman" w:hAnsi="Calibri" w:cs="Calibri"/>
                <w:color w:val="000000"/>
                <w:lang w:eastAsia="en-GB"/>
              </w:rPr>
            </w:pPr>
            <w:r>
              <w:rPr>
                <w:rFonts w:ascii="Calibri" w:hAnsi="Calibri" w:cs="Calibri"/>
                <w:color w:val="000000"/>
              </w:rPr>
              <w:t>0.5%</w:t>
            </w:r>
          </w:p>
        </w:tc>
        <w:tc>
          <w:tcPr>
            <w:tcW w:w="1126" w:type="dxa"/>
            <w:vAlign w:val="bottom"/>
          </w:tcPr>
          <w:p w14:paraId="138FE280" w14:textId="2A62A515" w:rsidR="00792C55" w:rsidRPr="00792C55" w:rsidRDefault="00792C55" w:rsidP="00792C55">
            <w:pPr>
              <w:jc w:val="center"/>
              <w:rPr>
                <w:rFonts w:ascii="Calibri" w:hAnsi="Calibri" w:cs="Calibri"/>
                <w:color w:val="000000"/>
              </w:rPr>
            </w:pPr>
            <w:r>
              <w:rPr>
                <w:rFonts w:ascii="Calibri" w:hAnsi="Calibri" w:cs="Calibri"/>
                <w:color w:val="000000"/>
              </w:rPr>
              <w:t>0.6%</w:t>
            </w:r>
          </w:p>
        </w:tc>
        <w:tc>
          <w:tcPr>
            <w:tcW w:w="1125" w:type="dxa"/>
            <w:vAlign w:val="bottom"/>
          </w:tcPr>
          <w:p w14:paraId="5AC383E5" w14:textId="2563DF29" w:rsidR="00792C55" w:rsidRPr="00792C55" w:rsidRDefault="00792C55" w:rsidP="00792C55">
            <w:pPr>
              <w:jc w:val="center"/>
              <w:rPr>
                <w:rFonts w:ascii="Calibri" w:hAnsi="Calibri" w:cs="Calibri"/>
                <w:color w:val="000000"/>
              </w:rPr>
            </w:pPr>
            <w:r>
              <w:rPr>
                <w:rFonts w:ascii="Calibri" w:hAnsi="Calibri" w:cs="Calibri"/>
                <w:color w:val="000000"/>
              </w:rPr>
              <w:t>0.6%</w:t>
            </w:r>
          </w:p>
        </w:tc>
        <w:tc>
          <w:tcPr>
            <w:tcW w:w="1126" w:type="dxa"/>
            <w:vAlign w:val="bottom"/>
          </w:tcPr>
          <w:p w14:paraId="076338FA" w14:textId="0374FB25" w:rsidR="00792C55" w:rsidRPr="00792C55" w:rsidRDefault="00792C55" w:rsidP="00792C55">
            <w:pPr>
              <w:jc w:val="center"/>
              <w:rPr>
                <w:rFonts w:ascii="Calibri" w:hAnsi="Calibri" w:cs="Calibri"/>
                <w:color w:val="000000"/>
              </w:rPr>
            </w:pPr>
            <w:r>
              <w:rPr>
                <w:rFonts w:ascii="Calibri" w:hAnsi="Calibri" w:cs="Calibri"/>
                <w:color w:val="000000"/>
              </w:rPr>
              <w:t>0.7%</w:t>
            </w:r>
          </w:p>
        </w:tc>
        <w:tc>
          <w:tcPr>
            <w:tcW w:w="1125" w:type="dxa"/>
            <w:vAlign w:val="bottom"/>
          </w:tcPr>
          <w:p w14:paraId="6823695E" w14:textId="39D3665A" w:rsidR="00792C55" w:rsidRPr="00792C55" w:rsidRDefault="00792C55" w:rsidP="00792C55">
            <w:pPr>
              <w:jc w:val="center"/>
              <w:rPr>
                <w:rFonts w:ascii="Calibri" w:hAnsi="Calibri" w:cs="Calibri"/>
                <w:color w:val="000000"/>
              </w:rPr>
            </w:pPr>
            <w:r>
              <w:rPr>
                <w:rFonts w:ascii="Calibri" w:hAnsi="Calibri" w:cs="Calibri"/>
                <w:color w:val="000000"/>
              </w:rPr>
              <w:t>0.7%</w:t>
            </w:r>
          </w:p>
        </w:tc>
        <w:tc>
          <w:tcPr>
            <w:tcW w:w="1126" w:type="dxa"/>
            <w:vAlign w:val="bottom"/>
          </w:tcPr>
          <w:p w14:paraId="322CB810" w14:textId="6C89926D" w:rsidR="00792C55" w:rsidRPr="00792C55" w:rsidRDefault="00792C55" w:rsidP="00792C55">
            <w:pPr>
              <w:jc w:val="center"/>
              <w:rPr>
                <w:rFonts w:ascii="Calibri" w:hAnsi="Calibri" w:cs="Calibri"/>
                <w:color w:val="000000"/>
              </w:rPr>
            </w:pPr>
            <w:r>
              <w:rPr>
                <w:rFonts w:ascii="Calibri" w:hAnsi="Calibri" w:cs="Calibri"/>
                <w:color w:val="000000"/>
              </w:rPr>
              <w:t>69</w:t>
            </w:r>
          </w:p>
        </w:tc>
      </w:tr>
      <w:tr w:rsidR="00792C55" w:rsidRPr="00D138E8" w14:paraId="3F795769" w14:textId="789DFABA" w:rsidTr="000A7017">
        <w:trPr>
          <w:trHeight w:val="290"/>
        </w:trPr>
        <w:tc>
          <w:tcPr>
            <w:tcW w:w="2263" w:type="dxa"/>
            <w:noWrap/>
            <w:hideMark/>
          </w:tcPr>
          <w:p w14:paraId="47CCCCEE" w14:textId="77777777" w:rsidR="00792C55" w:rsidRPr="00792C55" w:rsidRDefault="00792C55" w:rsidP="00792C55">
            <w:pPr>
              <w:rPr>
                <w:rFonts w:ascii="Calibri" w:eastAsia="Times New Roman" w:hAnsi="Calibri" w:cs="Calibri"/>
                <w:color w:val="000000"/>
                <w:lang w:eastAsia="en-GB"/>
              </w:rPr>
            </w:pPr>
            <w:r w:rsidRPr="00792C55">
              <w:rPr>
                <w:rFonts w:ascii="Calibri" w:eastAsia="Times New Roman" w:hAnsi="Calibri" w:cs="Calibri"/>
                <w:color w:val="000000"/>
                <w:lang w:eastAsia="en-GB"/>
              </w:rPr>
              <w:t>Gay woman/lesbian</w:t>
            </w:r>
          </w:p>
        </w:tc>
        <w:tc>
          <w:tcPr>
            <w:tcW w:w="1125" w:type="dxa"/>
            <w:noWrap/>
            <w:vAlign w:val="bottom"/>
          </w:tcPr>
          <w:p w14:paraId="0631CC5A" w14:textId="74C354B5" w:rsidR="00792C55" w:rsidRPr="00792C55" w:rsidRDefault="00792C55" w:rsidP="00792C55">
            <w:pPr>
              <w:jc w:val="center"/>
              <w:rPr>
                <w:rFonts w:ascii="Calibri" w:eastAsia="Times New Roman" w:hAnsi="Calibri" w:cs="Calibri"/>
                <w:color w:val="000000"/>
                <w:lang w:eastAsia="en-GB"/>
              </w:rPr>
            </w:pPr>
            <w:r>
              <w:rPr>
                <w:rFonts w:ascii="Calibri" w:hAnsi="Calibri" w:cs="Calibri"/>
                <w:color w:val="000000"/>
              </w:rPr>
              <w:t>0.4%</w:t>
            </w:r>
          </w:p>
        </w:tc>
        <w:tc>
          <w:tcPr>
            <w:tcW w:w="1126" w:type="dxa"/>
            <w:vAlign w:val="bottom"/>
          </w:tcPr>
          <w:p w14:paraId="670D7FD3" w14:textId="0495A05D" w:rsidR="00792C55" w:rsidRPr="00792C55" w:rsidRDefault="00792C55" w:rsidP="00792C55">
            <w:pPr>
              <w:jc w:val="center"/>
              <w:rPr>
                <w:rFonts w:ascii="Calibri" w:hAnsi="Calibri" w:cs="Calibri"/>
                <w:color w:val="000000"/>
              </w:rPr>
            </w:pPr>
            <w:r>
              <w:rPr>
                <w:rFonts w:ascii="Calibri" w:hAnsi="Calibri" w:cs="Calibri"/>
                <w:color w:val="000000"/>
              </w:rPr>
              <w:t>0.5%</w:t>
            </w:r>
          </w:p>
        </w:tc>
        <w:tc>
          <w:tcPr>
            <w:tcW w:w="1125" w:type="dxa"/>
            <w:vAlign w:val="bottom"/>
          </w:tcPr>
          <w:p w14:paraId="536F82B7" w14:textId="7B35C5F4" w:rsidR="00792C55" w:rsidRPr="00792C55" w:rsidRDefault="00792C55" w:rsidP="00792C55">
            <w:pPr>
              <w:jc w:val="center"/>
              <w:rPr>
                <w:rFonts w:ascii="Calibri" w:hAnsi="Calibri" w:cs="Calibri"/>
                <w:color w:val="000000"/>
              </w:rPr>
            </w:pPr>
            <w:r>
              <w:rPr>
                <w:rFonts w:ascii="Calibri" w:hAnsi="Calibri" w:cs="Calibri"/>
                <w:color w:val="000000"/>
              </w:rPr>
              <w:t>0.5%</w:t>
            </w:r>
          </w:p>
        </w:tc>
        <w:tc>
          <w:tcPr>
            <w:tcW w:w="1126" w:type="dxa"/>
            <w:vAlign w:val="bottom"/>
          </w:tcPr>
          <w:p w14:paraId="45535DB1" w14:textId="58F82E5B" w:rsidR="00792C55" w:rsidRPr="00792C55" w:rsidRDefault="00792C55" w:rsidP="00792C55">
            <w:pPr>
              <w:jc w:val="center"/>
              <w:rPr>
                <w:rFonts w:ascii="Calibri" w:hAnsi="Calibri" w:cs="Calibri"/>
                <w:color w:val="000000"/>
              </w:rPr>
            </w:pPr>
            <w:r>
              <w:rPr>
                <w:rFonts w:ascii="Calibri" w:hAnsi="Calibri" w:cs="Calibri"/>
                <w:color w:val="000000"/>
              </w:rPr>
              <w:t>0.6%</w:t>
            </w:r>
          </w:p>
        </w:tc>
        <w:tc>
          <w:tcPr>
            <w:tcW w:w="1125" w:type="dxa"/>
            <w:vAlign w:val="bottom"/>
          </w:tcPr>
          <w:p w14:paraId="38795E04" w14:textId="441737B1" w:rsidR="00792C55" w:rsidRPr="00792C55" w:rsidRDefault="00792C55" w:rsidP="00792C55">
            <w:pPr>
              <w:jc w:val="center"/>
              <w:rPr>
                <w:rFonts w:ascii="Calibri" w:hAnsi="Calibri" w:cs="Calibri"/>
                <w:color w:val="000000"/>
              </w:rPr>
            </w:pPr>
            <w:r>
              <w:rPr>
                <w:rFonts w:ascii="Calibri" w:hAnsi="Calibri" w:cs="Calibri"/>
                <w:color w:val="000000"/>
              </w:rPr>
              <w:t>0.6%</w:t>
            </w:r>
          </w:p>
        </w:tc>
        <w:tc>
          <w:tcPr>
            <w:tcW w:w="1126" w:type="dxa"/>
            <w:vAlign w:val="bottom"/>
          </w:tcPr>
          <w:p w14:paraId="5FA8A542" w14:textId="75D3CA76" w:rsidR="00792C55" w:rsidRPr="00792C55" w:rsidRDefault="00792C55" w:rsidP="00792C55">
            <w:pPr>
              <w:jc w:val="center"/>
              <w:rPr>
                <w:rFonts w:ascii="Calibri" w:hAnsi="Calibri" w:cs="Calibri"/>
                <w:color w:val="000000"/>
              </w:rPr>
            </w:pPr>
            <w:r>
              <w:rPr>
                <w:rFonts w:ascii="Calibri" w:hAnsi="Calibri" w:cs="Calibri"/>
                <w:color w:val="000000"/>
              </w:rPr>
              <w:t>43</w:t>
            </w:r>
          </w:p>
        </w:tc>
      </w:tr>
      <w:tr w:rsidR="00792C55" w:rsidRPr="00D138E8" w14:paraId="1A94537C" w14:textId="63D8C032" w:rsidTr="000A7017">
        <w:trPr>
          <w:trHeight w:val="290"/>
        </w:trPr>
        <w:tc>
          <w:tcPr>
            <w:tcW w:w="2263" w:type="dxa"/>
            <w:noWrap/>
            <w:hideMark/>
          </w:tcPr>
          <w:p w14:paraId="2D1B3242" w14:textId="77777777" w:rsidR="00792C55" w:rsidRPr="00792C55" w:rsidRDefault="00792C55" w:rsidP="00792C55">
            <w:pPr>
              <w:rPr>
                <w:rFonts w:ascii="Calibri" w:eastAsia="Times New Roman" w:hAnsi="Calibri" w:cs="Calibri"/>
                <w:color w:val="000000"/>
                <w:lang w:eastAsia="en-GB"/>
              </w:rPr>
            </w:pPr>
            <w:r w:rsidRPr="00792C55">
              <w:rPr>
                <w:rFonts w:ascii="Calibri" w:eastAsia="Times New Roman" w:hAnsi="Calibri" w:cs="Calibri"/>
                <w:color w:val="000000"/>
                <w:lang w:eastAsia="en-GB"/>
              </w:rPr>
              <w:t>Another sexuality</w:t>
            </w:r>
          </w:p>
        </w:tc>
        <w:tc>
          <w:tcPr>
            <w:tcW w:w="1125" w:type="dxa"/>
            <w:noWrap/>
            <w:vAlign w:val="bottom"/>
          </w:tcPr>
          <w:p w14:paraId="2D93CFB6" w14:textId="590AF711" w:rsidR="00792C55" w:rsidRPr="00792C55" w:rsidRDefault="00792C55" w:rsidP="00792C55">
            <w:pPr>
              <w:jc w:val="center"/>
              <w:rPr>
                <w:rFonts w:ascii="Calibri" w:eastAsia="Times New Roman" w:hAnsi="Calibri" w:cs="Calibri"/>
                <w:color w:val="000000"/>
                <w:lang w:eastAsia="en-GB"/>
              </w:rPr>
            </w:pPr>
            <w:r>
              <w:rPr>
                <w:rFonts w:ascii="Calibri" w:hAnsi="Calibri" w:cs="Calibri"/>
                <w:color w:val="000000"/>
              </w:rPr>
              <w:t>0.1%</w:t>
            </w:r>
          </w:p>
        </w:tc>
        <w:tc>
          <w:tcPr>
            <w:tcW w:w="1126" w:type="dxa"/>
            <w:vAlign w:val="bottom"/>
          </w:tcPr>
          <w:p w14:paraId="3758CC97" w14:textId="14B53E17" w:rsidR="00792C55" w:rsidRPr="00792C55" w:rsidRDefault="00792C55" w:rsidP="00792C55">
            <w:pPr>
              <w:jc w:val="center"/>
              <w:rPr>
                <w:rFonts w:ascii="Calibri" w:hAnsi="Calibri" w:cs="Calibri"/>
                <w:color w:val="000000"/>
              </w:rPr>
            </w:pPr>
            <w:r>
              <w:rPr>
                <w:rFonts w:ascii="Calibri" w:hAnsi="Calibri" w:cs="Calibri"/>
                <w:color w:val="000000"/>
              </w:rPr>
              <w:t>0.1%</w:t>
            </w:r>
          </w:p>
        </w:tc>
        <w:tc>
          <w:tcPr>
            <w:tcW w:w="1125" w:type="dxa"/>
            <w:vAlign w:val="bottom"/>
          </w:tcPr>
          <w:p w14:paraId="49183F45" w14:textId="081BB5F3" w:rsidR="00792C55" w:rsidRPr="00792C55" w:rsidRDefault="00792C55" w:rsidP="00792C55">
            <w:pPr>
              <w:jc w:val="center"/>
              <w:rPr>
                <w:rFonts w:ascii="Calibri" w:hAnsi="Calibri" w:cs="Calibri"/>
                <w:color w:val="000000"/>
              </w:rPr>
            </w:pPr>
            <w:r>
              <w:rPr>
                <w:rFonts w:ascii="Calibri" w:hAnsi="Calibri" w:cs="Calibri"/>
                <w:color w:val="000000"/>
              </w:rPr>
              <w:t>0.1%</w:t>
            </w:r>
          </w:p>
        </w:tc>
        <w:tc>
          <w:tcPr>
            <w:tcW w:w="1126" w:type="dxa"/>
            <w:vAlign w:val="bottom"/>
          </w:tcPr>
          <w:p w14:paraId="2FEAC2A9" w14:textId="2A1FEA98" w:rsidR="00792C55" w:rsidRPr="00792C55" w:rsidRDefault="00792C55" w:rsidP="00792C55">
            <w:pPr>
              <w:jc w:val="center"/>
              <w:rPr>
                <w:rFonts w:ascii="Calibri" w:hAnsi="Calibri" w:cs="Calibri"/>
                <w:color w:val="000000"/>
              </w:rPr>
            </w:pPr>
            <w:r>
              <w:rPr>
                <w:rFonts w:ascii="Calibri" w:hAnsi="Calibri" w:cs="Calibri"/>
                <w:color w:val="000000"/>
              </w:rPr>
              <w:t>0.2%</w:t>
            </w:r>
          </w:p>
        </w:tc>
        <w:tc>
          <w:tcPr>
            <w:tcW w:w="1125" w:type="dxa"/>
            <w:vAlign w:val="bottom"/>
          </w:tcPr>
          <w:p w14:paraId="7F032357" w14:textId="25778F5B" w:rsidR="00792C55" w:rsidRPr="00792C55" w:rsidRDefault="00792C55" w:rsidP="00792C55">
            <w:pPr>
              <w:jc w:val="center"/>
              <w:rPr>
                <w:rFonts w:ascii="Calibri" w:hAnsi="Calibri" w:cs="Calibri"/>
                <w:color w:val="000000"/>
              </w:rPr>
            </w:pPr>
            <w:r>
              <w:rPr>
                <w:rFonts w:ascii="Calibri" w:hAnsi="Calibri" w:cs="Calibri"/>
                <w:color w:val="000000"/>
              </w:rPr>
              <w:t>0.2%</w:t>
            </w:r>
          </w:p>
        </w:tc>
        <w:tc>
          <w:tcPr>
            <w:tcW w:w="1126" w:type="dxa"/>
            <w:vAlign w:val="bottom"/>
          </w:tcPr>
          <w:p w14:paraId="0D523B99" w14:textId="3CFFDD68" w:rsidR="00792C55" w:rsidRPr="00792C55" w:rsidRDefault="00792C55" w:rsidP="00792C55">
            <w:pPr>
              <w:jc w:val="center"/>
              <w:rPr>
                <w:rFonts w:ascii="Calibri" w:hAnsi="Calibri" w:cs="Calibri"/>
                <w:color w:val="000000"/>
              </w:rPr>
            </w:pPr>
            <w:r>
              <w:rPr>
                <w:rFonts w:ascii="Calibri" w:hAnsi="Calibri" w:cs="Calibri"/>
                <w:color w:val="000000"/>
              </w:rPr>
              <w:t>16</w:t>
            </w:r>
          </w:p>
        </w:tc>
      </w:tr>
      <w:tr w:rsidR="00792C55" w:rsidRPr="00D138E8" w14:paraId="12A25F5B" w14:textId="26C5129B" w:rsidTr="000A7017">
        <w:trPr>
          <w:trHeight w:val="290"/>
        </w:trPr>
        <w:tc>
          <w:tcPr>
            <w:tcW w:w="2263" w:type="dxa"/>
            <w:noWrap/>
            <w:hideMark/>
          </w:tcPr>
          <w:p w14:paraId="475371C5" w14:textId="77777777" w:rsidR="00792C55" w:rsidRPr="00792C55" w:rsidRDefault="00792C55" w:rsidP="00792C55">
            <w:pPr>
              <w:rPr>
                <w:rFonts w:ascii="Calibri" w:eastAsia="Times New Roman" w:hAnsi="Calibri" w:cs="Calibri"/>
                <w:b/>
                <w:bCs/>
                <w:color w:val="000000"/>
                <w:lang w:eastAsia="en-GB"/>
              </w:rPr>
            </w:pPr>
            <w:r w:rsidRPr="00792C55">
              <w:rPr>
                <w:rFonts w:ascii="Calibri" w:eastAsia="Times New Roman" w:hAnsi="Calibri" w:cs="Calibri"/>
                <w:b/>
                <w:bCs/>
                <w:color w:val="000000"/>
                <w:lang w:eastAsia="en-GB"/>
              </w:rPr>
              <w:t>LGB+ total</w:t>
            </w:r>
          </w:p>
        </w:tc>
        <w:tc>
          <w:tcPr>
            <w:tcW w:w="1125" w:type="dxa"/>
            <w:noWrap/>
            <w:vAlign w:val="bottom"/>
          </w:tcPr>
          <w:p w14:paraId="7A907340" w14:textId="3EDDBDB7" w:rsidR="00792C55" w:rsidRPr="00792C55" w:rsidRDefault="00792C55" w:rsidP="00792C55">
            <w:pPr>
              <w:jc w:val="center"/>
              <w:rPr>
                <w:rFonts w:ascii="Calibri" w:eastAsia="Times New Roman" w:hAnsi="Calibri" w:cs="Calibri"/>
                <w:b/>
                <w:bCs/>
                <w:color w:val="000000"/>
                <w:lang w:eastAsia="en-GB"/>
              </w:rPr>
            </w:pPr>
            <w:r>
              <w:rPr>
                <w:rFonts w:ascii="Calibri" w:hAnsi="Calibri" w:cs="Calibri"/>
                <w:b/>
                <w:bCs/>
                <w:color w:val="000000"/>
              </w:rPr>
              <w:t>1.4%</w:t>
            </w:r>
          </w:p>
        </w:tc>
        <w:tc>
          <w:tcPr>
            <w:tcW w:w="1126" w:type="dxa"/>
            <w:vAlign w:val="bottom"/>
          </w:tcPr>
          <w:p w14:paraId="7186A753" w14:textId="5BC3F4A3" w:rsidR="00792C55" w:rsidRPr="00792C55" w:rsidRDefault="00792C55" w:rsidP="00792C55">
            <w:pPr>
              <w:jc w:val="center"/>
              <w:rPr>
                <w:rFonts w:ascii="Calibri" w:hAnsi="Calibri" w:cs="Calibri"/>
                <w:b/>
                <w:bCs/>
                <w:color w:val="000000"/>
              </w:rPr>
            </w:pPr>
            <w:r>
              <w:rPr>
                <w:rFonts w:ascii="Calibri" w:hAnsi="Calibri" w:cs="Calibri"/>
                <w:b/>
                <w:bCs/>
                <w:color w:val="000000"/>
              </w:rPr>
              <w:t>1.6%</w:t>
            </w:r>
          </w:p>
        </w:tc>
        <w:tc>
          <w:tcPr>
            <w:tcW w:w="1125" w:type="dxa"/>
            <w:vAlign w:val="bottom"/>
          </w:tcPr>
          <w:p w14:paraId="2CD01968" w14:textId="078D0548" w:rsidR="00792C55" w:rsidRPr="00792C55" w:rsidRDefault="00792C55" w:rsidP="00792C55">
            <w:pPr>
              <w:jc w:val="center"/>
              <w:rPr>
                <w:rFonts w:ascii="Calibri" w:hAnsi="Calibri" w:cs="Calibri"/>
                <w:b/>
                <w:bCs/>
                <w:color w:val="000000"/>
              </w:rPr>
            </w:pPr>
            <w:r>
              <w:rPr>
                <w:rFonts w:ascii="Calibri" w:hAnsi="Calibri" w:cs="Calibri"/>
                <w:b/>
                <w:bCs/>
                <w:color w:val="000000"/>
              </w:rPr>
              <w:t>1.8%</w:t>
            </w:r>
          </w:p>
        </w:tc>
        <w:tc>
          <w:tcPr>
            <w:tcW w:w="1126" w:type="dxa"/>
            <w:vAlign w:val="bottom"/>
          </w:tcPr>
          <w:p w14:paraId="5208F0A4" w14:textId="48105C7E" w:rsidR="00792C55" w:rsidRPr="00792C55" w:rsidRDefault="00792C55" w:rsidP="00792C55">
            <w:pPr>
              <w:jc w:val="center"/>
              <w:rPr>
                <w:rFonts w:ascii="Calibri" w:hAnsi="Calibri" w:cs="Calibri"/>
                <w:b/>
                <w:bCs/>
                <w:color w:val="000000"/>
              </w:rPr>
            </w:pPr>
            <w:r>
              <w:rPr>
                <w:rFonts w:ascii="Calibri" w:hAnsi="Calibri" w:cs="Calibri"/>
                <w:b/>
                <w:bCs/>
                <w:color w:val="000000"/>
              </w:rPr>
              <w:t>2.2%</w:t>
            </w:r>
          </w:p>
        </w:tc>
        <w:tc>
          <w:tcPr>
            <w:tcW w:w="1125" w:type="dxa"/>
            <w:vAlign w:val="bottom"/>
          </w:tcPr>
          <w:p w14:paraId="78CBB0F1" w14:textId="36B93699" w:rsidR="00792C55" w:rsidRPr="00792C55" w:rsidRDefault="00792C55" w:rsidP="00792C55">
            <w:pPr>
              <w:jc w:val="center"/>
              <w:rPr>
                <w:rFonts w:ascii="Calibri" w:hAnsi="Calibri" w:cs="Calibri"/>
                <w:b/>
                <w:bCs/>
                <w:color w:val="000000"/>
              </w:rPr>
            </w:pPr>
            <w:r>
              <w:rPr>
                <w:rFonts w:ascii="Calibri" w:hAnsi="Calibri" w:cs="Calibri"/>
                <w:b/>
                <w:bCs/>
                <w:color w:val="000000"/>
              </w:rPr>
              <w:t>2.5%</w:t>
            </w:r>
          </w:p>
        </w:tc>
        <w:tc>
          <w:tcPr>
            <w:tcW w:w="1126" w:type="dxa"/>
            <w:vAlign w:val="bottom"/>
          </w:tcPr>
          <w:p w14:paraId="71679CB9" w14:textId="45994A47" w:rsidR="00792C55" w:rsidRPr="00792C55" w:rsidRDefault="00792C55" w:rsidP="00792C55">
            <w:pPr>
              <w:jc w:val="center"/>
              <w:rPr>
                <w:rFonts w:ascii="Calibri" w:hAnsi="Calibri" w:cs="Calibri"/>
                <w:b/>
                <w:bCs/>
                <w:color w:val="000000"/>
              </w:rPr>
            </w:pPr>
            <w:r>
              <w:rPr>
                <w:rFonts w:ascii="Calibri" w:hAnsi="Calibri" w:cs="Calibri"/>
                <w:color w:val="000000"/>
              </w:rPr>
              <w:t>226</w:t>
            </w:r>
          </w:p>
        </w:tc>
      </w:tr>
      <w:tr w:rsidR="00792C55" w:rsidRPr="00D138E8" w14:paraId="340716AC" w14:textId="2EF44BEF" w:rsidTr="000A7017">
        <w:trPr>
          <w:trHeight w:val="290"/>
        </w:trPr>
        <w:tc>
          <w:tcPr>
            <w:tcW w:w="2263" w:type="dxa"/>
            <w:noWrap/>
            <w:hideMark/>
          </w:tcPr>
          <w:p w14:paraId="7A30D855" w14:textId="77777777" w:rsidR="00792C55" w:rsidRPr="00792C55" w:rsidRDefault="00792C55" w:rsidP="00792C55">
            <w:pPr>
              <w:rPr>
                <w:rFonts w:ascii="Calibri" w:eastAsia="Times New Roman" w:hAnsi="Calibri" w:cs="Calibri"/>
                <w:color w:val="000000"/>
                <w:lang w:eastAsia="en-GB"/>
              </w:rPr>
            </w:pPr>
            <w:r w:rsidRPr="00792C55">
              <w:rPr>
                <w:rFonts w:ascii="Calibri" w:eastAsia="Times New Roman" w:hAnsi="Calibri" w:cs="Calibri"/>
                <w:color w:val="000000"/>
                <w:lang w:eastAsia="en-GB"/>
              </w:rPr>
              <w:t>Heterosexual</w:t>
            </w:r>
          </w:p>
        </w:tc>
        <w:tc>
          <w:tcPr>
            <w:tcW w:w="1125" w:type="dxa"/>
            <w:noWrap/>
            <w:vAlign w:val="bottom"/>
          </w:tcPr>
          <w:p w14:paraId="00AE267C" w14:textId="24C3524C" w:rsidR="00792C55" w:rsidRPr="00792C55" w:rsidRDefault="00792C55" w:rsidP="00792C55">
            <w:pPr>
              <w:jc w:val="center"/>
              <w:rPr>
                <w:rFonts w:ascii="Calibri" w:eastAsia="Times New Roman" w:hAnsi="Calibri" w:cs="Calibri"/>
                <w:color w:val="000000"/>
                <w:lang w:eastAsia="en-GB"/>
              </w:rPr>
            </w:pPr>
            <w:r>
              <w:rPr>
                <w:rFonts w:ascii="Calibri" w:hAnsi="Calibri" w:cs="Calibri"/>
                <w:color w:val="000000"/>
              </w:rPr>
              <w:t>21.8%</w:t>
            </w:r>
          </w:p>
        </w:tc>
        <w:tc>
          <w:tcPr>
            <w:tcW w:w="1126" w:type="dxa"/>
            <w:vAlign w:val="bottom"/>
          </w:tcPr>
          <w:p w14:paraId="5FAB9BD7" w14:textId="7438F28A" w:rsidR="00792C55" w:rsidRPr="00792C55" w:rsidRDefault="00792C55" w:rsidP="00792C55">
            <w:pPr>
              <w:jc w:val="center"/>
              <w:rPr>
                <w:rFonts w:ascii="Calibri" w:hAnsi="Calibri" w:cs="Calibri"/>
                <w:color w:val="000000"/>
              </w:rPr>
            </w:pPr>
            <w:r>
              <w:rPr>
                <w:rFonts w:ascii="Calibri" w:hAnsi="Calibri" w:cs="Calibri"/>
                <w:color w:val="000000"/>
              </w:rPr>
              <w:t>24.7%</w:t>
            </w:r>
          </w:p>
        </w:tc>
        <w:tc>
          <w:tcPr>
            <w:tcW w:w="1125" w:type="dxa"/>
            <w:vAlign w:val="bottom"/>
          </w:tcPr>
          <w:p w14:paraId="239DF286" w14:textId="47BD9C88" w:rsidR="00792C55" w:rsidRPr="00792C55" w:rsidRDefault="00792C55" w:rsidP="00792C55">
            <w:pPr>
              <w:jc w:val="center"/>
              <w:rPr>
                <w:rFonts w:ascii="Calibri" w:hAnsi="Calibri" w:cs="Calibri"/>
                <w:color w:val="000000"/>
              </w:rPr>
            </w:pPr>
            <w:r>
              <w:rPr>
                <w:rFonts w:ascii="Calibri" w:hAnsi="Calibri" w:cs="Calibri"/>
                <w:color w:val="000000"/>
              </w:rPr>
              <w:t>24.7%</w:t>
            </w:r>
          </w:p>
        </w:tc>
        <w:tc>
          <w:tcPr>
            <w:tcW w:w="1126" w:type="dxa"/>
            <w:vAlign w:val="bottom"/>
          </w:tcPr>
          <w:p w14:paraId="17152F2F" w14:textId="502AE5BF" w:rsidR="00792C55" w:rsidRPr="00792C55" w:rsidRDefault="00792C55" w:rsidP="00792C55">
            <w:pPr>
              <w:jc w:val="center"/>
              <w:rPr>
                <w:rFonts w:ascii="Calibri" w:hAnsi="Calibri" w:cs="Calibri"/>
                <w:color w:val="000000"/>
              </w:rPr>
            </w:pPr>
            <w:r>
              <w:rPr>
                <w:rFonts w:ascii="Calibri" w:hAnsi="Calibri" w:cs="Calibri"/>
                <w:color w:val="000000"/>
              </w:rPr>
              <w:t>26.0%</w:t>
            </w:r>
          </w:p>
        </w:tc>
        <w:tc>
          <w:tcPr>
            <w:tcW w:w="1125" w:type="dxa"/>
            <w:vAlign w:val="bottom"/>
          </w:tcPr>
          <w:p w14:paraId="4B2A451B" w14:textId="18BCB026" w:rsidR="00792C55" w:rsidRPr="00792C55" w:rsidRDefault="00792C55" w:rsidP="00792C55">
            <w:pPr>
              <w:jc w:val="center"/>
              <w:rPr>
                <w:rFonts w:ascii="Calibri" w:hAnsi="Calibri" w:cs="Calibri"/>
                <w:color w:val="000000"/>
              </w:rPr>
            </w:pPr>
            <w:r>
              <w:rPr>
                <w:rFonts w:ascii="Calibri" w:hAnsi="Calibri" w:cs="Calibri"/>
                <w:color w:val="000000"/>
              </w:rPr>
              <w:t>29.3%</w:t>
            </w:r>
          </w:p>
        </w:tc>
        <w:tc>
          <w:tcPr>
            <w:tcW w:w="1126" w:type="dxa"/>
            <w:vAlign w:val="bottom"/>
          </w:tcPr>
          <w:p w14:paraId="6D11EADC" w14:textId="36A3B3C7" w:rsidR="00792C55" w:rsidRPr="00792C55" w:rsidRDefault="00792C55" w:rsidP="00792C55">
            <w:pPr>
              <w:jc w:val="center"/>
              <w:rPr>
                <w:rFonts w:ascii="Calibri" w:hAnsi="Calibri" w:cs="Calibri"/>
                <w:color w:val="000000"/>
              </w:rPr>
            </w:pPr>
            <w:r>
              <w:rPr>
                <w:rFonts w:ascii="Calibri" w:hAnsi="Calibri" w:cs="Calibri"/>
                <w:color w:val="000000"/>
              </w:rPr>
              <w:t>2155</w:t>
            </w:r>
          </w:p>
        </w:tc>
      </w:tr>
      <w:tr w:rsidR="00792C55" w:rsidRPr="00D138E8" w14:paraId="3E0C0D54" w14:textId="636BEE5C" w:rsidTr="000A7017">
        <w:trPr>
          <w:trHeight w:val="290"/>
        </w:trPr>
        <w:tc>
          <w:tcPr>
            <w:tcW w:w="2263" w:type="dxa"/>
            <w:noWrap/>
            <w:hideMark/>
          </w:tcPr>
          <w:p w14:paraId="0EFDA419" w14:textId="77777777" w:rsidR="00792C55" w:rsidRPr="00792C55" w:rsidRDefault="00792C55" w:rsidP="00792C55">
            <w:pPr>
              <w:rPr>
                <w:rFonts w:ascii="Calibri" w:eastAsia="Times New Roman" w:hAnsi="Calibri" w:cs="Calibri"/>
                <w:color w:val="000000"/>
                <w:lang w:eastAsia="en-GB"/>
              </w:rPr>
            </w:pPr>
            <w:r w:rsidRPr="00792C55">
              <w:rPr>
                <w:rFonts w:ascii="Calibri" w:eastAsia="Times New Roman" w:hAnsi="Calibri" w:cs="Calibri"/>
                <w:color w:val="000000"/>
                <w:lang w:eastAsia="en-GB"/>
              </w:rPr>
              <w:t>Prefer NTS</w:t>
            </w:r>
          </w:p>
        </w:tc>
        <w:tc>
          <w:tcPr>
            <w:tcW w:w="1125" w:type="dxa"/>
            <w:noWrap/>
            <w:vAlign w:val="bottom"/>
          </w:tcPr>
          <w:p w14:paraId="6E0B2EB7" w14:textId="41349EC0" w:rsidR="00792C55" w:rsidRPr="00792C55" w:rsidRDefault="00792C55" w:rsidP="00792C55">
            <w:pPr>
              <w:jc w:val="center"/>
              <w:rPr>
                <w:rFonts w:ascii="Calibri" w:eastAsia="Times New Roman" w:hAnsi="Calibri" w:cs="Calibri"/>
                <w:color w:val="000000"/>
                <w:lang w:eastAsia="en-GB"/>
              </w:rPr>
            </w:pPr>
            <w:r>
              <w:rPr>
                <w:rFonts w:ascii="Calibri" w:hAnsi="Calibri" w:cs="Calibri"/>
                <w:color w:val="000000"/>
              </w:rPr>
              <w:t>…</w:t>
            </w:r>
          </w:p>
        </w:tc>
        <w:tc>
          <w:tcPr>
            <w:tcW w:w="1126" w:type="dxa"/>
            <w:vAlign w:val="bottom"/>
          </w:tcPr>
          <w:p w14:paraId="21C2F8C0" w14:textId="1ABB1434" w:rsidR="00792C55" w:rsidRPr="00792C55" w:rsidRDefault="00792C55" w:rsidP="00792C55">
            <w:pPr>
              <w:jc w:val="center"/>
              <w:rPr>
                <w:rFonts w:ascii="Calibri" w:hAnsi="Calibri" w:cs="Calibri"/>
                <w:color w:val="000000"/>
              </w:rPr>
            </w:pPr>
            <w:r>
              <w:rPr>
                <w:rFonts w:ascii="Calibri" w:hAnsi="Calibri" w:cs="Calibri"/>
                <w:color w:val="000000"/>
              </w:rPr>
              <w:t>2.2%</w:t>
            </w:r>
          </w:p>
        </w:tc>
        <w:tc>
          <w:tcPr>
            <w:tcW w:w="1125" w:type="dxa"/>
            <w:vAlign w:val="bottom"/>
          </w:tcPr>
          <w:p w14:paraId="791B435E" w14:textId="1602CA50" w:rsidR="00792C55" w:rsidRPr="00792C55" w:rsidRDefault="00792C55" w:rsidP="00792C55">
            <w:pPr>
              <w:jc w:val="center"/>
              <w:rPr>
                <w:rFonts w:ascii="Calibri" w:hAnsi="Calibri" w:cs="Calibri"/>
                <w:color w:val="000000"/>
              </w:rPr>
            </w:pPr>
            <w:r>
              <w:rPr>
                <w:rFonts w:ascii="Calibri" w:hAnsi="Calibri" w:cs="Calibri"/>
                <w:color w:val="000000"/>
              </w:rPr>
              <w:t>2.2%</w:t>
            </w:r>
          </w:p>
        </w:tc>
        <w:tc>
          <w:tcPr>
            <w:tcW w:w="1126" w:type="dxa"/>
            <w:vAlign w:val="bottom"/>
          </w:tcPr>
          <w:p w14:paraId="379CB471" w14:textId="0418141E" w:rsidR="00792C55" w:rsidRPr="00792C55" w:rsidRDefault="00792C55" w:rsidP="00792C55">
            <w:pPr>
              <w:jc w:val="center"/>
              <w:rPr>
                <w:rFonts w:ascii="Calibri" w:hAnsi="Calibri" w:cs="Calibri"/>
                <w:color w:val="000000"/>
              </w:rPr>
            </w:pPr>
            <w:r>
              <w:rPr>
                <w:rFonts w:ascii="Calibri" w:hAnsi="Calibri" w:cs="Calibri"/>
                <w:color w:val="000000"/>
              </w:rPr>
              <w:t>2.7%</w:t>
            </w:r>
          </w:p>
        </w:tc>
        <w:tc>
          <w:tcPr>
            <w:tcW w:w="1125" w:type="dxa"/>
            <w:vAlign w:val="bottom"/>
          </w:tcPr>
          <w:p w14:paraId="24B043C4" w14:textId="2AC86717" w:rsidR="00792C55" w:rsidRPr="00792C55" w:rsidRDefault="00792C55" w:rsidP="00792C55">
            <w:pPr>
              <w:jc w:val="center"/>
              <w:rPr>
                <w:rFonts w:ascii="Calibri" w:hAnsi="Calibri" w:cs="Calibri"/>
                <w:color w:val="000000"/>
              </w:rPr>
            </w:pPr>
            <w:r>
              <w:rPr>
                <w:rFonts w:ascii="Calibri" w:hAnsi="Calibri" w:cs="Calibri"/>
                <w:color w:val="000000"/>
              </w:rPr>
              <w:t>3.5%</w:t>
            </w:r>
          </w:p>
        </w:tc>
        <w:tc>
          <w:tcPr>
            <w:tcW w:w="1126" w:type="dxa"/>
            <w:vAlign w:val="bottom"/>
          </w:tcPr>
          <w:p w14:paraId="3EA423C0" w14:textId="3E21FC8E" w:rsidR="00792C55" w:rsidRPr="00792C55" w:rsidRDefault="00792C55" w:rsidP="00792C55">
            <w:pPr>
              <w:jc w:val="center"/>
              <w:rPr>
                <w:rFonts w:ascii="Calibri" w:hAnsi="Calibri" w:cs="Calibri"/>
                <w:color w:val="000000"/>
              </w:rPr>
            </w:pPr>
            <w:r>
              <w:rPr>
                <w:rFonts w:ascii="Calibri" w:hAnsi="Calibri" w:cs="Calibri"/>
                <w:color w:val="000000"/>
              </w:rPr>
              <w:t>311</w:t>
            </w:r>
          </w:p>
        </w:tc>
      </w:tr>
      <w:tr w:rsidR="00792C55" w:rsidRPr="00D138E8" w14:paraId="048D2B06" w14:textId="39FC5EE8" w:rsidTr="000A7017">
        <w:trPr>
          <w:trHeight w:val="290"/>
        </w:trPr>
        <w:tc>
          <w:tcPr>
            <w:tcW w:w="2263" w:type="dxa"/>
            <w:noWrap/>
            <w:hideMark/>
          </w:tcPr>
          <w:p w14:paraId="6F682A40" w14:textId="450A79DF" w:rsidR="00792C55" w:rsidRPr="00792C55" w:rsidRDefault="00792C55" w:rsidP="00792C55">
            <w:pPr>
              <w:rPr>
                <w:rFonts w:ascii="Calibri" w:eastAsia="Times New Roman" w:hAnsi="Calibri" w:cs="Calibri"/>
                <w:color w:val="000000"/>
                <w:lang w:eastAsia="en-GB"/>
              </w:rPr>
            </w:pPr>
            <w:r>
              <w:rPr>
                <w:rFonts w:ascii="Calibri" w:eastAsia="Times New Roman" w:hAnsi="Calibri" w:cs="Calibri"/>
                <w:color w:val="000000"/>
                <w:lang w:eastAsia="en-GB"/>
              </w:rPr>
              <w:t>No response provided</w:t>
            </w:r>
          </w:p>
        </w:tc>
        <w:tc>
          <w:tcPr>
            <w:tcW w:w="1125" w:type="dxa"/>
            <w:noWrap/>
            <w:vAlign w:val="bottom"/>
          </w:tcPr>
          <w:p w14:paraId="2166EC8A" w14:textId="38E2A21D" w:rsidR="00792C55" w:rsidRPr="00792C55" w:rsidRDefault="00792C55" w:rsidP="00792C55">
            <w:pPr>
              <w:jc w:val="center"/>
              <w:rPr>
                <w:rFonts w:ascii="Calibri" w:eastAsia="Times New Roman" w:hAnsi="Calibri" w:cs="Calibri"/>
                <w:color w:val="000000"/>
                <w:lang w:eastAsia="en-GB"/>
              </w:rPr>
            </w:pPr>
            <w:r>
              <w:rPr>
                <w:rFonts w:ascii="Calibri" w:hAnsi="Calibri" w:cs="Calibri"/>
                <w:color w:val="000000"/>
              </w:rPr>
              <w:t>76.9%</w:t>
            </w:r>
          </w:p>
        </w:tc>
        <w:tc>
          <w:tcPr>
            <w:tcW w:w="1126" w:type="dxa"/>
            <w:vAlign w:val="bottom"/>
          </w:tcPr>
          <w:p w14:paraId="1C7A0D8C" w14:textId="6971F3CC" w:rsidR="00792C55" w:rsidRPr="00792C55" w:rsidRDefault="00792C55" w:rsidP="00792C55">
            <w:pPr>
              <w:jc w:val="center"/>
              <w:rPr>
                <w:rFonts w:ascii="Calibri" w:hAnsi="Calibri" w:cs="Calibri"/>
                <w:color w:val="000000"/>
              </w:rPr>
            </w:pPr>
            <w:r>
              <w:rPr>
                <w:rFonts w:ascii="Calibri" w:hAnsi="Calibri" w:cs="Calibri"/>
                <w:color w:val="000000"/>
              </w:rPr>
              <w:t>71.3%</w:t>
            </w:r>
          </w:p>
        </w:tc>
        <w:tc>
          <w:tcPr>
            <w:tcW w:w="1125" w:type="dxa"/>
            <w:vAlign w:val="bottom"/>
          </w:tcPr>
          <w:p w14:paraId="29E38C2C" w14:textId="53A2BAF7" w:rsidR="00792C55" w:rsidRPr="00792C55" w:rsidRDefault="00792C55" w:rsidP="00792C55">
            <w:pPr>
              <w:jc w:val="center"/>
              <w:rPr>
                <w:rFonts w:ascii="Calibri" w:hAnsi="Calibri" w:cs="Calibri"/>
                <w:color w:val="000000"/>
              </w:rPr>
            </w:pPr>
            <w:r>
              <w:rPr>
                <w:rFonts w:ascii="Calibri" w:hAnsi="Calibri" w:cs="Calibri"/>
                <w:color w:val="000000"/>
              </w:rPr>
              <w:t>71.3%</w:t>
            </w:r>
          </w:p>
        </w:tc>
        <w:tc>
          <w:tcPr>
            <w:tcW w:w="1126" w:type="dxa"/>
            <w:vAlign w:val="bottom"/>
          </w:tcPr>
          <w:p w14:paraId="0702BF7D" w14:textId="24EB781D" w:rsidR="00792C55" w:rsidRPr="00792C55" w:rsidRDefault="00792C55" w:rsidP="00792C55">
            <w:pPr>
              <w:jc w:val="center"/>
              <w:rPr>
                <w:rFonts w:ascii="Calibri" w:hAnsi="Calibri" w:cs="Calibri"/>
                <w:color w:val="000000"/>
              </w:rPr>
            </w:pPr>
            <w:r>
              <w:rPr>
                <w:rFonts w:ascii="Calibri" w:hAnsi="Calibri" w:cs="Calibri"/>
                <w:color w:val="000000"/>
              </w:rPr>
              <w:t>69.1%</w:t>
            </w:r>
          </w:p>
        </w:tc>
        <w:tc>
          <w:tcPr>
            <w:tcW w:w="1125" w:type="dxa"/>
            <w:vAlign w:val="bottom"/>
          </w:tcPr>
          <w:p w14:paraId="2766CDD2" w14:textId="786BB6F7" w:rsidR="00792C55" w:rsidRPr="00792C55" w:rsidRDefault="00792C55" w:rsidP="00792C55">
            <w:pPr>
              <w:jc w:val="center"/>
              <w:rPr>
                <w:rFonts w:ascii="Calibri" w:hAnsi="Calibri" w:cs="Calibri"/>
                <w:color w:val="000000"/>
              </w:rPr>
            </w:pPr>
            <w:r>
              <w:rPr>
                <w:rFonts w:ascii="Calibri" w:hAnsi="Calibri" w:cs="Calibri"/>
                <w:color w:val="000000"/>
              </w:rPr>
              <w:t>64.7%</w:t>
            </w:r>
          </w:p>
        </w:tc>
        <w:tc>
          <w:tcPr>
            <w:tcW w:w="1126" w:type="dxa"/>
            <w:vAlign w:val="bottom"/>
          </w:tcPr>
          <w:p w14:paraId="21D1C22D" w14:textId="434230A4" w:rsidR="00792C55" w:rsidRPr="00792C55" w:rsidRDefault="00792C55" w:rsidP="00792C55">
            <w:pPr>
              <w:jc w:val="center"/>
              <w:rPr>
                <w:rFonts w:ascii="Calibri" w:hAnsi="Calibri" w:cs="Calibri"/>
                <w:color w:val="000000"/>
              </w:rPr>
            </w:pPr>
            <w:r>
              <w:rPr>
                <w:rFonts w:ascii="Calibri" w:hAnsi="Calibri" w:cs="Calibri"/>
                <w:color w:val="000000"/>
              </w:rPr>
              <w:t>3723</w:t>
            </w:r>
          </w:p>
        </w:tc>
      </w:tr>
      <w:tr w:rsidR="00792C55" w:rsidRPr="00776768" w14:paraId="0B9CA871" w14:textId="0712EE4D" w:rsidTr="000A7017">
        <w:trPr>
          <w:trHeight w:val="300"/>
        </w:trPr>
        <w:tc>
          <w:tcPr>
            <w:tcW w:w="2263" w:type="dxa"/>
            <w:noWrap/>
            <w:hideMark/>
          </w:tcPr>
          <w:p w14:paraId="36B84432" w14:textId="77777777" w:rsidR="00792C55" w:rsidRPr="00792C55" w:rsidRDefault="00792C55" w:rsidP="00792C55">
            <w:pPr>
              <w:rPr>
                <w:rFonts w:ascii="Calibri" w:eastAsia="Times New Roman" w:hAnsi="Calibri" w:cs="Calibri"/>
                <w:color w:val="000000"/>
                <w:lang w:eastAsia="en-GB"/>
              </w:rPr>
            </w:pPr>
            <w:r w:rsidRPr="00792C55">
              <w:rPr>
                <w:rFonts w:ascii="Calibri" w:eastAsia="Times New Roman" w:hAnsi="Calibri" w:cs="Calibri"/>
                <w:color w:val="000000"/>
                <w:lang w:eastAsia="en-GB"/>
              </w:rPr>
              <w:t>Data sharing rate</w:t>
            </w:r>
          </w:p>
        </w:tc>
        <w:tc>
          <w:tcPr>
            <w:tcW w:w="1125" w:type="dxa"/>
            <w:noWrap/>
            <w:vAlign w:val="bottom"/>
          </w:tcPr>
          <w:p w14:paraId="07380822" w14:textId="5D50EAD4" w:rsidR="00792C55" w:rsidRPr="00792C55" w:rsidRDefault="00792C55" w:rsidP="00792C55">
            <w:pPr>
              <w:jc w:val="center"/>
              <w:rPr>
                <w:rFonts w:ascii="Calibri" w:eastAsia="Times New Roman" w:hAnsi="Calibri" w:cs="Calibri"/>
                <w:color w:val="000000"/>
                <w:lang w:eastAsia="en-GB"/>
              </w:rPr>
            </w:pPr>
            <w:r>
              <w:rPr>
                <w:rFonts w:ascii="Calibri" w:hAnsi="Calibri" w:cs="Calibri"/>
                <w:color w:val="000000"/>
              </w:rPr>
              <w:t>23.1%</w:t>
            </w:r>
          </w:p>
        </w:tc>
        <w:tc>
          <w:tcPr>
            <w:tcW w:w="1126" w:type="dxa"/>
            <w:vAlign w:val="bottom"/>
          </w:tcPr>
          <w:p w14:paraId="2185B52F" w14:textId="044DAC66" w:rsidR="00792C55" w:rsidRPr="00792C55" w:rsidRDefault="00792C55" w:rsidP="00792C55">
            <w:pPr>
              <w:jc w:val="center"/>
              <w:rPr>
                <w:rFonts w:ascii="Calibri" w:hAnsi="Calibri" w:cs="Calibri"/>
                <w:color w:val="000000"/>
              </w:rPr>
            </w:pPr>
            <w:r>
              <w:rPr>
                <w:rFonts w:ascii="Calibri" w:hAnsi="Calibri" w:cs="Calibri"/>
                <w:color w:val="000000"/>
              </w:rPr>
              <w:t>28.7%</w:t>
            </w:r>
          </w:p>
        </w:tc>
        <w:tc>
          <w:tcPr>
            <w:tcW w:w="1125" w:type="dxa"/>
            <w:vAlign w:val="bottom"/>
          </w:tcPr>
          <w:p w14:paraId="282D1EAA" w14:textId="32DB6F51" w:rsidR="00792C55" w:rsidRPr="00792C55" w:rsidRDefault="00792C55" w:rsidP="00792C55">
            <w:pPr>
              <w:jc w:val="center"/>
              <w:rPr>
                <w:rFonts w:ascii="Calibri" w:hAnsi="Calibri" w:cs="Calibri"/>
                <w:color w:val="000000"/>
              </w:rPr>
            </w:pPr>
            <w:r>
              <w:rPr>
                <w:rFonts w:ascii="Calibri" w:hAnsi="Calibri" w:cs="Calibri"/>
                <w:color w:val="000000"/>
              </w:rPr>
              <w:t>28.7%</w:t>
            </w:r>
          </w:p>
        </w:tc>
        <w:tc>
          <w:tcPr>
            <w:tcW w:w="1126" w:type="dxa"/>
            <w:vAlign w:val="bottom"/>
          </w:tcPr>
          <w:p w14:paraId="27E2511B" w14:textId="274A3AFD" w:rsidR="00792C55" w:rsidRPr="00792C55" w:rsidRDefault="00792C55" w:rsidP="00792C55">
            <w:pPr>
              <w:jc w:val="center"/>
              <w:rPr>
                <w:rFonts w:ascii="Calibri" w:hAnsi="Calibri" w:cs="Calibri"/>
                <w:color w:val="000000"/>
              </w:rPr>
            </w:pPr>
            <w:r>
              <w:rPr>
                <w:rFonts w:ascii="Calibri" w:hAnsi="Calibri" w:cs="Calibri"/>
                <w:color w:val="000000"/>
              </w:rPr>
              <w:t>30.9%</w:t>
            </w:r>
          </w:p>
        </w:tc>
        <w:tc>
          <w:tcPr>
            <w:tcW w:w="1125" w:type="dxa"/>
            <w:vAlign w:val="bottom"/>
          </w:tcPr>
          <w:p w14:paraId="548D37FF" w14:textId="65C5B71A" w:rsidR="00792C55" w:rsidRPr="00792C55" w:rsidRDefault="00792C55" w:rsidP="00792C55">
            <w:pPr>
              <w:jc w:val="center"/>
              <w:rPr>
                <w:rFonts w:ascii="Calibri" w:hAnsi="Calibri" w:cs="Calibri"/>
                <w:color w:val="000000"/>
              </w:rPr>
            </w:pPr>
            <w:r>
              <w:rPr>
                <w:rFonts w:ascii="Calibri" w:hAnsi="Calibri" w:cs="Calibri"/>
                <w:color w:val="000000"/>
              </w:rPr>
              <w:t>35.3%</w:t>
            </w:r>
          </w:p>
        </w:tc>
        <w:tc>
          <w:tcPr>
            <w:tcW w:w="1126" w:type="dxa"/>
            <w:vAlign w:val="bottom"/>
          </w:tcPr>
          <w:p w14:paraId="7C4CAB0E" w14:textId="58B8F357" w:rsidR="00792C55" w:rsidRPr="00792C55" w:rsidRDefault="00792C55" w:rsidP="00792C55">
            <w:pPr>
              <w:jc w:val="center"/>
              <w:rPr>
                <w:rFonts w:ascii="Calibri" w:hAnsi="Calibri" w:cs="Calibri"/>
                <w:color w:val="000000"/>
              </w:rPr>
            </w:pPr>
            <w:r>
              <w:rPr>
                <w:rFonts w:ascii="Calibri" w:hAnsi="Calibri" w:cs="Calibri"/>
                <w:color w:val="000000"/>
              </w:rPr>
              <w:t>2692</w:t>
            </w:r>
          </w:p>
        </w:tc>
      </w:tr>
    </w:tbl>
    <w:p w14:paraId="53675057" w14:textId="689AEAA3" w:rsidR="2ABCE12C" w:rsidRDefault="2ABCE12C" w:rsidP="2ABCE12C"/>
    <w:p w14:paraId="6A49CF18" w14:textId="31EF4EF3" w:rsidR="2ABCE12C" w:rsidRDefault="2ABCE12C" w:rsidP="2ABCE12C"/>
    <w:p w14:paraId="6880B4E8" w14:textId="6E17FF74" w:rsidR="002821DB" w:rsidRDefault="002821DB" w:rsidP="002821DB"/>
    <w:p w14:paraId="29AFE700" w14:textId="0B473EE2" w:rsidR="00546C42" w:rsidRDefault="00546C42" w:rsidP="002821DB"/>
    <w:p w14:paraId="474426CA" w14:textId="7D73E87A" w:rsidR="00546C42" w:rsidRDefault="00546C42" w:rsidP="002821DB"/>
    <w:p w14:paraId="62AA83EF" w14:textId="77777777" w:rsidR="00546C42" w:rsidRPr="002821DB" w:rsidRDefault="00546C42" w:rsidP="002821DB"/>
    <w:p w14:paraId="4D73B38D" w14:textId="77777777" w:rsidR="00B514AE" w:rsidRDefault="00B514AE">
      <w:pPr>
        <w:rPr>
          <w:rFonts w:asciiTheme="majorHAnsi" w:eastAsiaTheme="majorEastAsia" w:hAnsiTheme="majorHAnsi" w:cstheme="majorBidi"/>
          <w:b/>
          <w:bCs/>
          <w:color w:val="2F5496" w:themeColor="accent1" w:themeShade="BF"/>
          <w:sz w:val="32"/>
          <w:szCs w:val="32"/>
        </w:rPr>
      </w:pPr>
      <w:bookmarkStart w:id="203" w:name="_Toc86832943"/>
      <w:r>
        <w:rPr>
          <w:b/>
          <w:bCs/>
        </w:rPr>
        <w:br w:type="page"/>
      </w:r>
    </w:p>
    <w:p w14:paraId="1A18275B" w14:textId="592FF77C" w:rsidR="6CA4C83E" w:rsidRDefault="6CA4C83E" w:rsidP="00DC6B4B">
      <w:pPr>
        <w:pStyle w:val="Heading1"/>
        <w:numPr>
          <w:ilvl w:val="0"/>
          <w:numId w:val="10"/>
        </w:numPr>
        <w:rPr>
          <w:b/>
          <w:bCs/>
        </w:rPr>
      </w:pPr>
      <w:bookmarkStart w:id="204" w:name="_Toc94185461"/>
      <w:r w:rsidRPr="3C4DAE66">
        <w:rPr>
          <w:b/>
          <w:bCs/>
        </w:rPr>
        <w:lastRenderedPageBreak/>
        <w:t xml:space="preserve">Gender Pay Gap </w:t>
      </w:r>
      <w:r w:rsidR="6E71DE88" w:rsidRPr="3C4DAE66">
        <w:rPr>
          <w:b/>
          <w:bCs/>
        </w:rPr>
        <w:t>Report</w:t>
      </w:r>
      <w:bookmarkEnd w:id="203"/>
      <w:bookmarkEnd w:id="204"/>
      <w:r w:rsidR="00A3227B">
        <w:rPr>
          <w:b/>
          <w:bCs/>
        </w:rPr>
        <w:t xml:space="preserve"> Summary</w:t>
      </w:r>
    </w:p>
    <w:p w14:paraId="150F3397" w14:textId="1E12BC99" w:rsidR="53766C39" w:rsidRDefault="53766C39" w:rsidP="53766C39">
      <w:pPr>
        <w:spacing w:after="40" w:line="221" w:lineRule="atLeast"/>
        <w:rPr>
          <w:rFonts w:ascii="Calibri" w:eastAsia="Calibri" w:hAnsi="Calibri" w:cs="Calibri"/>
          <w:color w:val="000000" w:themeColor="text1"/>
        </w:rPr>
      </w:pPr>
    </w:p>
    <w:p w14:paraId="002EB644" w14:textId="6F107EDF" w:rsidR="1484CE6E" w:rsidRDefault="1484CE6E" w:rsidP="53766C39">
      <w:pPr>
        <w:pStyle w:val="Heading2"/>
        <w:rPr>
          <w:rFonts w:ascii="Calibri Light" w:hAnsi="Calibri Light"/>
          <w:b/>
          <w:bCs/>
        </w:rPr>
      </w:pPr>
      <w:bookmarkStart w:id="205" w:name="_Toc86832945"/>
      <w:bookmarkStart w:id="206" w:name="_Toc87435113"/>
      <w:bookmarkStart w:id="207" w:name="_Toc87856853"/>
      <w:bookmarkStart w:id="208" w:name="_Toc94185462"/>
      <w:r w:rsidRPr="53766C39">
        <w:rPr>
          <w:b/>
          <w:bCs/>
        </w:rPr>
        <w:t>Introduction</w:t>
      </w:r>
      <w:bookmarkEnd w:id="205"/>
      <w:bookmarkEnd w:id="206"/>
      <w:bookmarkEnd w:id="207"/>
      <w:bookmarkEnd w:id="208"/>
    </w:p>
    <w:p w14:paraId="25BD9456" w14:textId="77777777" w:rsidR="00A3227B" w:rsidRDefault="00A3227B" w:rsidP="53766C39">
      <w:pPr>
        <w:spacing w:after="240" w:line="240" w:lineRule="auto"/>
        <w:rPr>
          <w:rFonts w:ascii="Calibri" w:eastAsia="Calibri" w:hAnsi="Calibri" w:cs="Calibri"/>
          <w:color w:val="000000" w:themeColor="text1"/>
        </w:rPr>
      </w:pPr>
      <w:r w:rsidRPr="00A3227B">
        <w:rPr>
          <w:rFonts w:ascii="Calibri" w:eastAsia="Calibri" w:hAnsi="Calibri" w:cs="Calibri"/>
          <w:color w:val="000000" w:themeColor="text1"/>
        </w:rPr>
        <w:t>We are in our sixth year of reporting, and this year we have continued to focus on understanding and analysing our pay gap data beyond the headlines and statutory reporting. We have invested in deep dive analysis across a range of occupational groupings, grades, and job families. This has been done by gender, ethnicity, and disability and on an intersectional basis. We have identified our pay gap risks and are working collaboratively with colleague groups and networks to explore these areas of concern in more detail and to create meaningful action for improvement.</w:t>
      </w:r>
    </w:p>
    <w:p w14:paraId="67929201" w14:textId="57B1EC89" w:rsidR="00B37029" w:rsidRDefault="00A3227B" w:rsidP="53766C39">
      <w:pPr>
        <w:spacing w:after="240" w:line="240" w:lineRule="auto"/>
        <w:rPr>
          <w:rFonts w:ascii="Calibri" w:eastAsia="Calibri" w:hAnsi="Calibri" w:cs="Calibri"/>
          <w:color w:val="000000" w:themeColor="text1"/>
        </w:rPr>
      </w:pPr>
      <w:r w:rsidRPr="00A3227B">
        <w:rPr>
          <w:rFonts w:ascii="Calibri" w:eastAsia="Calibri" w:hAnsi="Calibri" w:cs="Calibri"/>
          <w:color w:val="000000" w:themeColor="text1"/>
        </w:rPr>
        <w:t>We recognise that the workforce composition and organisational demographics will continue to play a part in driving some element of our pay gap concerns. We have been impacted by a challenging recruitment market and high demands on specialist roles. Attracting and retaining talent has been particularly important for us this year. These factors can all play a part in changes to the pay gaps.</w:t>
      </w:r>
      <w:r w:rsidR="00B37029">
        <w:rPr>
          <w:rFonts w:ascii="Calibri" w:eastAsia="Calibri" w:hAnsi="Calibri" w:cs="Calibri"/>
          <w:color w:val="000000" w:themeColor="text1"/>
        </w:rPr>
        <w:t xml:space="preserve"> </w:t>
      </w:r>
    </w:p>
    <w:p w14:paraId="6FF39CBE" w14:textId="2EDC2AFE" w:rsidR="319FC842" w:rsidRDefault="319FC842" w:rsidP="53766C39">
      <w:pPr>
        <w:pStyle w:val="Heading3"/>
        <w:rPr>
          <w:rFonts w:ascii="Calibri Light" w:hAnsi="Calibri Light"/>
          <w:b/>
          <w:bCs/>
          <w:color w:val="1F3763"/>
        </w:rPr>
      </w:pPr>
      <w:bookmarkStart w:id="209" w:name="_Toc86832946"/>
      <w:bookmarkStart w:id="210" w:name="_Toc87435114"/>
      <w:bookmarkStart w:id="211" w:name="_Toc87856854"/>
      <w:bookmarkStart w:id="212" w:name="_Toc94184818"/>
      <w:bookmarkStart w:id="213" w:name="_Toc94185463"/>
      <w:bookmarkStart w:id="214" w:name="_Hlk132388172"/>
      <w:r w:rsidRPr="53766C39">
        <w:rPr>
          <w:b/>
          <w:bCs/>
        </w:rPr>
        <w:t>What is the gender pay gap?</w:t>
      </w:r>
      <w:bookmarkEnd w:id="209"/>
      <w:bookmarkEnd w:id="210"/>
      <w:bookmarkEnd w:id="211"/>
      <w:bookmarkEnd w:id="212"/>
      <w:bookmarkEnd w:id="213"/>
      <w:r w:rsidRPr="53766C39">
        <w:rPr>
          <w:b/>
          <w:bCs/>
        </w:rPr>
        <w:t xml:space="preserve"> </w:t>
      </w:r>
    </w:p>
    <w:p w14:paraId="6C67490A" w14:textId="61EFAB32" w:rsidR="630DA434" w:rsidRDefault="00A3227B" w:rsidP="00A3227B">
      <w:pPr>
        <w:rPr>
          <w:rFonts w:ascii="Calibri" w:eastAsia="Calibri" w:hAnsi="Calibri" w:cs="Calibri"/>
          <w:color w:val="000000" w:themeColor="text1"/>
        </w:rPr>
      </w:pPr>
      <w:r w:rsidRPr="00A3227B">
        <w:rPr>
          <w:rFonts w:ascii="Calibri" w:eastAsia="Calibri" w:hAnsi="Calibri" w:cs="Calibri"/>
          <w:color w:val="000000" w:themeColor="text1"/>
        </w:rPr>
        <w:t>The gender pay gap is the difference between the average hourly pay for male and female employees working for an organisation. Having a gender pay gap is an indicator of differential distribution of female and male employees within an organisation, typically more male employees in occupations and/or more senior positions with higher salaries, and more female employees in occupations and/or more junior positions with lower salaries</w:t>
      </w:r>
      <w:r w:rsidR="630DA434" w:rsidRPr="53766C39">
        <w:rPr>
          <w:rFonts w:ascii="Calibri" w:eastAsia="Calibri" w:hAnsi="Calibri" w:cs="Calibri"/>
          <w:color w:val="000000" w:themeColor="text1"/>
        </w:rPr>
        <w:t>.</w:t>
      </w:r>
    </w:p>
    <w:bookmarkEnd w:id="214"/>
    <w:p w14:paraId="21B4D5C6" w14:textId="18C108B9" w:rsidR="00A3227B" w:rsidRDefault="00A3227B" w:rsidP="00A3227B">
      <w:pPr>
        <w:pStyle w:val="Heading3"/>
        <w:rPr>
          <w:rFonts w:ascii="Calibri Light" w:hAnsi="Calibri Light"/>
          <w:b/>
          <w:bCs/>
          <w:color w:val="1F3763"/>
        </w:rPr>
      </w:pPr>
      <w:r>
        <w:rPr>
          <w:b/>
          <w:bCs/>
        </w:rPr>
        <w:t>The Mean</w:t>
      </w:r>
      <w:r w:rsidRPr="53766C39">
        <w:rPr>
          <w:b/>
          <w:bCs/>
        </w:rPr>
        <w:t xml:space="preserve"> </w:t>
      </w:r>
    </w:p>
    <w:p w14:paraId="3179CCFF" w14:textId="3537EE0F" w:rsidR="00A3227B" w:rsidRDefault="00A3227B" w:rsidP="00A3227B">
      <w:pPr>
        <w:rPr>
          <w:rFonts w:ascii="Calibri" w:eastAsia="Calibri" w:hAnsi="Calibri" w:cs="Calibri"/>
          <w:color w:val="000000" w:themeColor="text1"/>
        </w:rPr>
      </w:pPr>
      <w:r w:rsidRPr="00A3227B">
        <w:rPr>
          <w:rFonts w:ascii="Calibri" w:eastAsia="Calibri" w:hAnsi="Calibri" w:cs="Calibri"/>
          <w:color w:val="000000" w:themeColor="text1"/>
        </w:rPr>
        <w:t>Commonly known as the average, is calculated when you add up the wages of all colleagues and divide the figure by the number of colleagues. The mean gender pay gap is the difference between mean pay of female and male colleagues.</w:t>
      </w:r>
    </w:p>
    <w:p w14:paraId="28BA11BA" w14:textId="07EA821A" w:rsidR="00A3227B" w:rsidRDefault="00A3227B" w:rsidP="00A3227B">
      <w:pPr>
        <w:pStyle w:val="Heading3"/>
        <w:rPr>
          <w:rFonts w:ascii="Calibri Light" w:hAnsi="Calibri Light"/>
          <w:b/>
          <w:bCs/>
          <w:color w:val="1F3763"/>
        </w:rPr>
      </w:pPr>
      <w:r>
        <w:rPr>
          <w:b/>
          <w:bCs/>
        </w:rPr>
        <w:t>The Median</w:t>
      </w:r>
      <w:r w:rsidRPr="53766C39">
        <w:rPr>
          <w:b/>
          <w:bCs/>
        </w:rPr>
        <w:t xml:space="preserve"> </w:t>
      </w:r>
    </w:p>
    <w:p w14:paraId="0546E42A" w14:textId="74892C7D" w:rsidR="00A3227B" w:rsidRDefault="00A3227B" w:rsidP="00A3227B">
      <w:pPr>
        <w:rPr>
          <w:rFonts w:ascii="Calibri" w:eastAsia="Calibri" w:hAnsi="Calibri" w:cs="Calibri"/>
          <w:color w:val="000000" w:themeColor="text1"/>
        </w:rPr>
      </w:pPr>
      <w:r w:rsidRPr="00A3227B">
        <w:rPr>
          <w:rFonts w:ascii="Calibri" w:eastAsia="Calibri" w:hAnsi="Calibri" w:cs="Calibri"/>
          <w:color w:val="000000" w:themeColor="text1"/>
        </w:rPr>
        <w:t>The figure that falls in the middle of a range when everyone’s wages are lined up from smallest to largest. The median gap is the difference between the hourly pay of the middle colleagues in the range of male colleagues’ wages and female colleagues’ wages.</w:t>
      </w:r>
    </w:p>
    <w:p w14:paraId="068A9F6E" w14:textId="518EA9D2" w:rsidR="53766C39" w:rsidRDefault="53766C39" w:rsidP="53766C39"/>
    <w:p w14:paraId="22727ACC" w14:textId="616B6B87" w:rsidR="002C7EE8" w:rsidRDefault="00A3227B" w:rsidP="00CE6E2A">
      <w:pPr>
        <w:pStyle w:val="Heading2"/>
        <w:rPr>
          <w:rFonts w:ascii="Calibri Light" w:eastAsia="Calibri Light" w:hAnsi="Calibri Light" w:cs="Calibri Light"/>
          <w:b/>
          <w:bCs/>
          <w:color w:val="2E74B5" w:themeColor="accent5" w:themeShade="BF"/>
        </w:rPr>
      </w:pPr>
      <w:r>
        <w:rPr>
          <w:rFonts w:ascii="Calibri Light" w:eastAsia="Calibri Light" w:hAnsi="Calibri Light" w:cs="Calibri Light"/>
          <w:b/>
          <w:bCs/>
          <w:color w:val="2E74B5" w:themeColor="accent5" w:themeShade="BF"/>
        </w:rPr>
        <w:t>Key Findings</w:t>
      </w:r>
    </w:p>
    <w:p w14:paraId="128C46AF" w14:textId="1CA0C487" w:rsidR="00A3227B" w:rsidRPr="00A3227B" w:rsidRDefault="00A3227B" w:rsidP="00A3227B">
      <w:pPr>
        <w:rPr>
          <w:rFonts w:ascii="Calibri" w:eastAsia="Calibri" w:hAnsi="Calibri" w:cs="Calibri"/>
          <w:color w:val="000000" w:themeColor="text1"/>
        </w:rPr>
      </w:pPr>
      <w:r w:rsidRPr="00A3227B">
        <w:rPr>
          <w:rFonts w:ascii="Calibri" w:eastAsia="Calibri" w:hAnsi="Calibri" w:cs="Calibri"/>
          <w:color w:val="000000" w:themeColor="text1"/>
        </w:rPr>
        <w:t>The median pay gap has decreased by 2.0%. The mean has increased by 0.5%. This increase has occurred due to Clinical Excellence payments paid in the relevant payment period now being included in the calculations, which are predominantly paid to male colleagues, along with salary sacrifice deduction now being removed before analysis.</w:t>
      </w:r>
    </w:p>
    <w:p w14:paraId="340914AF" w14:textId="58926EAB" w:rsidR="004B7A82" w:rsidRDefault="00A3227B" w:rsidP="00A3227B">
      <w:pPr>
        <w:rPr>
          <w:rFonts w:ascii="Calibri" w:eastAsia="Calibri" w:hAnsi="Calibri" w:cs="Calibri"/>
          <w:color w:val="000000" w:themeColor="text1"/>
        </w:rPr>
      </w:pPr>
      <w:r w:rsidRPr="00A3227B">
        <w:rPr>
          <w:rFonts w:ascii="Calibri" w:eastAsia="Calibri" w:hAnsi="Calibri" w:cs="Calibri"/>
          <w:color w:val="000000" w:themeColor="text1"/>
        </w:rPr>
        <w:t>By occupational group both academic and PS are in favour of males, by 11.5% and 6.6% respectively. When splitting academic out</w:t>
      </w:r>
      <w:r w:rsidRPr="00A3227B">
        <w:t xml:space="preserve"> </w:t>
      </w:r>
      <w:r w:rsidRPr="00A3227B">
        <w:rPr>
          <w:rFonts w:ascii="Calibri" w:eastAsia="Calibri" w:hAnsi="Calibri" w:cs="Calibri"/>
          <w:color w:val="000000" w:themeColor="text1"/>
        </w:rPr>
        <w:t>into clinical and non-clinical we can see that clinical academics have a median pay gap heavily in favour of males, at 22.7%. By the mean measure, apart from non-clinical academics, all elements of the analysis are further in favour of males. Further highlighting the fact males hold the majority of senior positions. Recruiting more junior males into the PS and academic occupational groups will significantly reduce the observed pay gap.</w:t>
      </w:r>
      <w:r w:rsidR="004B7A82">
        <w:rPr>
          <w:rFonts w:ascii="Calibri" w:eastAsia="Calibri" w:hAnsi="Calibri" w:cs="Calibri"/>
          <w:color w:val="000000" w:themeColor="text1"/>
        </w:rPr>
        <w:t xml:space="preserve"> </w:t>
      </w:r>
    </w:p>
    <w:p w14:paraId="7F8FC131" w14:textId="05BE16A8" w:rsidR="00997B44" w:rsidRPr="00997B44" w:rsidRDefault="00997B44" w:rsidP="00997B44">
      <w:pPr>
        <w:rPr>
          <w:b/>
          <w:bCs/>
        </w:rPr>
      </w:pPr>
      <w:r w:rsidRPr="00997B44">
        <w:rPr>
          <w:b/>
          <w:bCs/>
        </w:rPr>
        <w:t>Table: Overall mean and median gender pay gaps 20</w:t>
      </w:r>
      <w:r w:rsidR="00A3227B">
        <w:rPr>
          <w:b/>
          <w:bCs/>
        </w:rPr>
        <w:t>22</w:t>
      </w:r>
      <w:r w:rsidR="0070439E">
        <w:rPr>
          <w:b/>
          <w:bCs/>
        </w:rPr>
        <w:t xml:space="preserve"> and change since 2021.</w:t>
      </w:r>
      <w:r w:rsidRPr="00997B44">
        <w:rPr>
          <w:b/>
          <w:bCs/>
        </w:rPr>
        <w:t xml:space="preserve"> </w:t>
      </w:r>
    </w:p>
    <w:tbl>
      <w:tblPr>
        <w:tblStyle w:val="TableGrid"/>
        <w:tblW w:w="0" w:type="auto"/>
        <w:tblLayout w:type="fixed"/>
        <w:tblLook w:val="04A0" w:firstRow="1" w:lastRow="0" w:firstColumn="1" w:lastColumn="0" w:noHBand="0" w:noVBand="1"/>
      </w:tblPr>
      <w:tblGrid>
        <w:gridCol w:w="988"/>
        <w:gridCol w:w="1275"/>
        <w:gridCol w:w="993"/>
        <w:gridCol w:w="934"/>
        <w:gridCol w:w="1051"/>
        <w:gridCol w:w="1498"/>
        <w:gridCol w:w="1336"/>
        <w:gridCol w:w="940"/>
      </w:tblGrid>
      <w:tr w:rsidR="00997B44" w:rsidRPr="00A3227B" w14:paraId="3842A8BB" w14:textId="77777777" w:rsidTr="00633406">
        <w:trPr>
          <w:trHeight w:val="570"/>
        </w:trPr>
        <w:tc>
          <w:tcPr>
            <w:tcW w:w="988" w:type="dxa"/>
          </w:tcPr>
          <w:p w14:paraId="48F37FB8" w14:textId="030FE5F5" w:rsidR="00997B44" w:rsidRPr="00532302" w:rsidRDefault="00633406" w:rsidP="008275D2">
            <w:pPr>
              <w:rPr>
                <w:rFonts w:ascii="Calibri" w:eastAsia="Calibri" w:hAnsi="Calibri" w:cs="Calibri"/>
                <w:b/>
                <w:bCs/>
                <w:color w:val="000000" w:themeColor="text1"/>
              </w:rPr>
            </w:pPr>
            <w:r w:rsidRPr="00532302">
              <w:rPr>
                <w:rFonts w:ascii="Calibri" w:eastAsia="Calibri" w:hAnsi="Calibri" w:cs="Calibri"/>
                <w:b/>
                <w:bCs/>
                <w:color w:val="000000" w:themeColor="text1"/>
              </w:rPr>
              <w:lastRenderedPageBreak/>
              <w:t>Sex</w:t>
            </w:r>
          </w:p>
        </w:tc>
        <w:tc>
          <w:tcPr>
            <w:tcW w:w="1275" w:type="dxa"/>
          </w:tcPr>
          <w:p w14:paraId="407786B1" w14:textId="3F3BE388" w:rsidR="00997B44" w:rsidRPr="00532302" w:rsidRDefault="00E12D61" w:rsidP="008275D2">
            <w:pPr>
              <w:jc w:val="center"/>
              <w:rPr>
                <w:rFonts w:ascii="Calibri" w:eastAsia="Calibri" w:hAnsi="Calibri" w:cs="Calibri"/>
                <w:color w:val="000000" w:themeColor="text1"/>
              </w:rPr>
            </w:pPr>
            <w:r>
              <w:rPr>
                <w:rFonts w:ascii="Calibri" w:eastAsia="Calibri" w:hAnsi="Calibri" w:cs="Calibri"/>
                <w:b/>
                <w:bCs/>
                <w:color w:val="000000" w:themeColor="text1"/>
              </w:rPr>
              <w:t>No</w:t>
            </w:r>
          </w:p>
        </w:tc>
        <w:tc>
          <w:tcPr>
            <w:tcW w:w="993" w:type="dxa"/>
          </w:tcPr>
          <w:p w14:paraId="44770DC4" w14:textId="77777777" w:rsidR="00997B44" w:rsidRPr="00532302" w:rsidRDefault="00997B44" w:rsidP="008275D2">
            <w:pPr>
              <w:jc w:val="center"/>
              <w:rPr>
                <w:rFonts w:ascii="Calibri" w:eastAsia="Calibri" w:hAnsi="Calibri" w:cs="Calibri"/>
                <w:color w:val="000000" w:themeColor="text1"/>
              </w:rPr>
            </w:pPr>
            <w:r w:rsidRPr="00532302">
              <w:rPr>
                <w:rFonts w:ascii="Calibri" w:eastAsia="Calibri" w:hAnsi="Calibri" w:cs="Calibri"/>
                <w:b/>
                <w:bCs/>
                <w:color w:val="000000" w:themeColor="text1"/>
              </w:rPr>
              <w:t xml:space="preserve">Hourly mean </w:t>
            </w:r>
            <w:proofErr w:type="gramStart"/>
            <w:r w:rsidRPr="00532302">
              <w:rPr>
                <w:rFonts w:ascii="Calibri" w:eastAsia="Calibri" w:hAnsi="Calibri" w:cs="Calibri"/>
                <w:b/>
                <w:bCs/>
                <w:color w:val="000000" w:themeColor="text1"/>
              </w:rPr>
              <w:t>pay</w:t>
            </w:r>
            <w:proofErr w:type="gramEnd"/>
            <w:r w:rsidRPr="00532302">
              <w:rPr>
                <w:rFonts w:ascii="Calibri" w:eastAsia="Calibri" w:hAnsi="Calibri" w:cs="Calibri"/>
                <w:b/>
                <w:bCs/>
                <w:color w:val="000000" w:themeColor="text1"/>
              </w:rPr>
              <w:t xml:space="preserve"> £</w:t>
            </w:r>
          </w:p>
        </w:tc>
        <w:tc>
          <w:tcPr>
            <w:tcW w:w="934" w:type="dxa"/>
          </w:tcPr>
          <w:p w14:paraId="2657ED66" w14:textId="77777777" w:rsidR="00997B44" w:rsidRPr="00532302" w:rsidRDefault="00997B44" w:rsidP="008275D2">
            <w:pPr>
              <w:jc w:val="center"/>
              <w:rPr>
                <w:rFonts w:ascii="Calibri" w:eastAsia="Calibri" w:hAnsi="Calibri" w:cs="Calibri"/>
                <w:color w:val="000000" w:themeColor="text1"/>
              </w:rPr>
            </w:pPr>
            <w:r w:rsidRPr="00532302">
              <w:rPr>
                <w:rFonts w:ascii="Calibri" w:eastAsia="Calibri" w:hAnsi="Calibri" w:cs="Calibri"/>
                <w:b/>
                <w:bCs/>
                <w:color w:val="000000" w:themeColor="text1"/>
              </w:rPr>
              <w:t>Mean Pay Gap (%)</w:t>
            </w:r>
          </w:p>
        </w:tc>
        <w:tc>
          <w:tcPr>
            <w:tcW w:w="1051" w:type="dxa"/>
          </w:tcPr>
          <w:p w14:paraId="163B29B0" w14:textId="77777777" w:rsidR="00997B44" w:rsidRPr="00532302" w:rsidRDefault="00997B44" w:rsidP="008275D2">
            <w:pPr>
              <w:jc w:val="center"/>
              <w:rPr>
                <w:rFonts w:ascii="Calibri" w:eastAsia="Calibri" w:hAnsi="Calibri" w:cs="Calibri"/>
                <w:color w:val="000000" w:themeColor="text1"/>
              </w:rPr>
            </w:pPr>
            <w:r w:rsidRPr="00532302">
              <w:rPr>
                <w:rFonts w:ascii="Calibri" w:eastAsia="Calibri" w:hAnsi="Calibri" w:cs="Calibri"/>
                <w:b/>
                <w:bCs/>
                <w:color w:val="000000" w:themeColor="text1"/>
              </w:rPr>
              <w:t>Change %</w:t>
            </w:r>
          </w:p>
        </w:tc>
        <w:tc>
          <w:tcPr>
            <w:tcW w:w="1498" w:type="dxa"/>
          </w:tcPr>
          <w:p w14:paraId="76BB1149" w14:textId="77777777" w:rsidR="00997B44" w:rsidRPr="00532302" w:rsidRDefault="00997B44" w:rsidP="008275D2">
            <w:pPr>
              <w:jc w:val="center"/>
              <w:rPr>
                <w:rFonts w:ascii="Calibri" w:eastAsia="Calibri" w:hAnsi="Calibri" w:cs="Calibri"/>
                <w:color w:val="000000" w:themeColor="text1"/>
              </w:rPr>
            </w:pPr>
            <w:r w:rsidRPr="00532302">
              <w:rPr>
                <w:rFonts w:ascii="Calibri" w:eastAsia="Calibri" w:hAnsi="Calibri" w:cs="Calibri"/>
                <w:b/>
                <w:bCs/>
                <w:color w:val="000000" w:themeColor="text1"/>
              </w:rPr>
              <w:t>Hourly median pay £</w:t>
            </w:r>
          </w:p>
        </w:tc>
        <w:tc>
          <w:tcPr>
            <w:tcW w:w="1336" w:type="dxa"/>
          </w:tcPr>
          <w:p w14:paraId="0193213F" w14:textId="77777777" w:rsidR="00997B44" w:rsidRPr="00532302" w:rsidRDefault="00997B44" w:rsidP="008275D2">
            <w:pPr>
              <w:jc w:val="center"/>
              <w:rPr>
                <w:rFonts w:ascii="Calibri" w:eastAsia="Calibri" w:hAnsi="Calibri" w:cs="Calibri"/>
                <w:color w:val="000000" w:themeColor="text1"/>
              </w:rPr>
            </w:pPr>
            <w:r w:rsidRPr="00532302">
              <w:rPr>
                <w:rFonts w:ascii="Calibri" w:eastAsia="Calibri" w:hAnsi="Calibri" w:cs="Calibri"/>
                <w:b/>
                <w:bCs/>
                <w:color w:val="000000" w:themeColor="text1"/>
              </w:rPr>
              <w:t>Median pay gap (%)</w:t>
            </w:r>
          </w:p>
        </w:tc>
        <w:tc>
          <w:tcPr>
            <w:tcW w:w="940" w:type="dxa"/>
          </w:tcPr>
          <w:p w14:paraId="046F2DF4" w14:textId="77777777" w:rsidR="00997B44" w:rsidRPr="00532302" w:rsidRDefault="00997B44" w:rsidP="008275D2">
            <w:pPr>
              <w:jc w:val="center"/>
              <w:rPr>
                <w:rFonts w:ascii="Calibri" w:eastAsia="Calibri" w:hAnsi="Calibri" w:cs="Calibri"/>
                <w:color w:val="000000" w:themeColor="text1"/>
              </w:rPr>
            </w:pPr>
            <w:r w:rsidRPr="00532302">
              <w:rPr>
                <w:rFonts w:ascii="Calibri" w:eastAsia="Calibri" w:hAnsi="Calibri" w:cs="Calibri"/>
                <w:b/>
                <w:bCs/>
                <w:color w:val="000000" w:themeColor="text1"/>
              </w:rPr>
              <w:t>Change %</w:t>
            </w:r>
          </w:p>
        </w:tc>
      </w:tr>
      <w:tr w:rsidR="00633406" w:rsidRPr="00A3227B" w14:paraId="2BDBBAB4" w14:textId="77777777" w:rsidTr="00633406">
        <w:trPr>
          <w:trHeight w:val="585"/>
        </w:trPr>
        <w:tc>
          <w:tcPr>
            <w:tcW w:w="988" w:type="dxa"/>
          </w:tcPr>
          <w:p w14:paraId="704FF105" w14:textId="77777777" w:rsidR="00997B44" w:rsidRPr="00532302" w:rsidRDefault="00997B44" w:rsidP="008275D2">
            <w:pPr>
              <w:rPr>
                <w:rFonts w:ascii="Calibri" w:eastAsia="Calibri" w:hAnsi="Calibri" w:cs="Calibri"/>
                <w:color w:val="000000" w:themeColor="text1"/>
              </w:rPr>
            </w:pPr>
            <w:r w:rsidRPr="00532302">
              <w:rPr>
                <w:rFonts w:ascii="Calibri" w:eastAsia="Calibri" w:hAnsi="Calibri" w:cs="Calibri"/>
                <w:color w:val="000000" w:themeColor="text1"/>
              </w:rPr>
              <w:t>Male</w:t>
            </w:r>
          </w:p>
        </w:tc>
        <w:tc>
          <w:tcPr>
            <w:tcW w:w="1275" w:type="dxa"/>
          </w:tcPr>
          <w:p w14:paraId="45DE3AA9" w14:textId="6E90184C" w:rsidR="00997B44" w:rsidRPr="00532302" w:rsidRDefault="00792C55" w:rsidP="008275D2">
            <w:pPr>
              <w:jc w:val="right"/>
              <w:rPr>
                <w:rFonts w:ascii="Calibri" w:eastAsia="Calibri" w:hAnsi="Calibri" w:cs="Calibri"/>
                <w:color w:val="000000" w:themeColor="text1"/>
              </w:rPr>
            </w:pPr>
            <w:r w:rsidRPr="00532302">
              <w:rPr>
                <w:rFonts w:ascii="Calibri" w:eastAsia="Calibri" w:hAnsi="Calibri" w:cs="Calibri"/>
                <w:color w:val="000000" w:themeColor="text1"/>
              </w:rPr>
              <w:t>2,791</w:t>
            </w:r>
          </w:p>
        </w:tc>
        <w:tc>
          <w:tcPr>
            <w:tcW w:w="993" w:type="dxa"/>
          </w:tcPr>
          <w:p w14:paraId="797D4A52" w14:textId="2CA1AF01" w:rsidR="00997B44" w:rsidRPr="00532302" w:rsidRDefault="00792C55" w:rsidP="008275D2">
            <w:pPr>
              <w:jc w:val="right"/>
              <w:rPr>
                <w:rFonts w:ascii="Calibri" w:eastAsia="Calibri" w:hAnsi="Calibri" w:cs="Calibri"/>
                <w:color w:val="000000" w:themeColor="text1"/>
              </w:rPr>
            </w:pPr>
            <w:r w:rsidRPr="00532302">
              <w:rPr>
                <w:rFonts w:ascii="Calibri" w:eastAsia="Calibri" w:hAnsi="Calibri" w:cs="Calibri"/>
                <w:color w:val="000000" w:themeColor="text1"/>
              </w:rPr>
              <w:t>21.63</w:t>
            </w:r>
          </w:p>
        </w:tc>
        <w:tc>
          <w:tcPr>
            <w:tcW w:w="934" w:type="dxa"/>
          </w:tcPr>
          <w:p w14:paraId="56991F54" w14:textId="775ECF03" w:rsidR="00997B44" w:rsidRPr="00532302" w:rsidRDefault="00792C55" w:rsidP="008275D2">
            <w:pPr>
              <w:jc w:val="right"/>
              <w:rPr>
                <w:rFonts w:ascii="Calibri" w:eastAsia="Calibri" w:hAnsi="Calibri" w:cs="Calibri"/>
                <w:color w:val="000000" w:themeColor="text1"/>
              </w:rPr>
            </w:pPr>
            <w:r w:rsidRPr="00532302">
              <w:rPr>
                <w:rFonts w:ascii="Calibri" w:eastAsia="Calibri" w:hAnsi="Calibri" w:cs="Calibri"/>
                <w:b/>
                <w:bCs/>
                <w:color w:val="000000" w:themeColor="text1"/>
              </w:rPr>
              <w:t>18.3%</w:t>
            </w:r>
          </w:p>
        </w:tc>
        <w:tc>
          <w:tcPr>
            <w:tcW w:w="1051" w:type="dxa"/>
          </w:tcPr>
          <w:p w14:paraId="4B53B6F3" w14:textId="5C1A677F" w:rsidR="00997B44" w:rsidRPr="00532302" w:rsidRDefault="00792C55" w:rsidP="008275D2">
            <w:pPr>
              <w:jc w:val="right"/>
              <w:rPr>
                <w:rFonts w:ascii="Calibri" w:eastAsia="Calibri" w:hAnsi="Calibri" w:cs="Calibri"/>
                <w:color w:val="000000" w:themeColor="text1"/>
              </w:rPr>
            </w:pPr>
            <w:r w:rsidRPr="00532302">
              <w:rPr>
                <w:rFonts w:ascii="Calibri" w:eastAsia="Calibri" w:hAnsi="Calibri" w:cs="Calibri"/>
                <w:color w:val="000000" w:themeColor="text1"/>
              </w:rPr>
              <w:t>+0.5</w:t>
            </w:r>
          </w:p>
        </w:tc>
        <w:tc>
          <w:tcPr>
            <w:tcW w:w="1498" w:type="dxa"/>
          </w:tcPr>
          <w:p w14:paraId="659E7585" w14:textId="0B20EA54" w:rsidR="00997B44" w:rsidRPr="00532302" w:rsidRDefault="00792C55" w:rsidP="008275D2">
            <w:pPr>
              <w:jc w:val="right"/>
              <w:rPr>
                <w:rFonts w:ascii="Calibri" w:eastAsia="Calibri" w:hAnsi="Calibri" w:cs="Calibri"/>
                <w:color w:val="000000" w:themeColor="text1"/>
              </w:rPr>
            </w:pPr>
            <w:r w:rsidRPr="00532302">
              <w:rPr>
                <w:rFonts w:ascii="Calibri" w:eastAsia="Calibri" w:hAnsi="Calibri" w:cs="Calibri"/>
                <w:color w:val="000000" w:themeColor="text1"/>
              </w:rPr>
              <w:t>18.82</w:t>
            </w:r>
          </w:p>
        </w:tc>
        <w:tc>
          <w:tcPr>
            <w:tcW w:w="1336" w:type="dxa"/>
          </w:tcPr>
          <w:p w14:paraId="0B0F6914" w14:textId="47589470" w:rsidR="00997B44" w:rsidRPr="00532302" w:rsidRDefault="00792C55" w:rsidP="008275D2">
            <w:pPr>
              <w:jc w:val="right"/>
              <w:rPr>
                <w:rFonts w:ascii="Calibri" w:eastAsia="Calibri" w:hAnsi="Calibri" w:cs="Calibri"/>
                <w:color w:val="000000" w:themeColor="text1"/>
              </w:rPr>
            </w:pPr>
            <w:r w:rsidRPr="00532302">
              <w:rPr>
                <w:rFonts w:ascii="Calibri" w:eastAsia="Calibri" w:hAnsi="Calibri" w:cs="Calibri"/>
                <w:b/>
                <w:bCs/>
                <w:color w:val="000000" w:themeColor="text1"/>
              </w:rPr>
              <w:t>14.2</w:t>
            </w:r>
          </w:p>
        </w:tc>
        <w:tc>
          <w:tcPr>
            <w:tcW w:w="940" w:type="dxa"/>
          </w:tcPr>
          <w:p w14:paraId="693EDE1C" w14:textId="5F344FBD" w:rsidR="00997B44" w:rsidRPr="00532302" w:rsidRDefault="00997B44" w:rsidP="008275D2">
            <w:pPr>
              <w:jc w:val="right"/>
              <w:rPr>
                <w:rFonts w:ascii="Calibri" w:eastAsia="Calibri" w:hAnsi="Calibri" w:cs="Calibri"/>
                <w:color w:val="000000" w:themeColor="text1"/>
              </w:rPr>
            </w:pPr>
            <w:r w:rsidRPr="00532302">
              <w:rPr>
                <w:rFonts w:ascii="Calibri" w:eastAsia="Calibri" w:hAnsi="Calibri" w:cs="Calibri"/>
                <w:color w:val="000000" w:themeColor="text1"/>
              </w:rPr>
              <w:t>-</w:t>
            </w:r>
            <w:r w:rsidR="00792C55" w:rsidRPr="00532302">
              <w:rPr>
                <w:rFonts w:ascii="Calibri" w:eastAsia="Calibri" w:hAnsi="Calibri" w:cs="Calibri"/>
                <w:color w:val="000000" w:themeColor="text1"/>
              </w:rPr>
              <w:t>2.0</w:t>
            </w:r>
          </w:p>
        </w:tc>
      </w:tr>
      <w:tr w:rsidR="00997B44" w14:paraId="1D0FAF4A" w14:textId="77777777" w:rsidTr="00633406">
        <w:trPr>
          <w:trHeight w:val="480"/>
        </w:trPr>
        <w:tc>
          <w:tcPr>
            <w:tcW w:w="988" w:type="dxa"/>
          </w:tcPr>
          <w:p w14:paraId="27965FC3" w14:textId="77777777" w:rsidR="00997B44" w:rsidRPr="00532302" w:rsidRDefault="00997B44" w:rsidP="008275D2">
            <w:pPr>
              <w:rPr>
                <w:rFonts w:ascii="Calibri" w:eastAsia="Calibri" w:hAnsi="Calibri" w:cs="Calibri"/>
                <w:color w:val="000000" w:themeColor="text1"/>
              </w:rPr>
            </w:pPr>
            <w:r w:rsidRPr="00532302">
              <w:rPr>
                <w:rFonts w:ascii="Calibri" w:eastAsia="Calibri" w:hAnsi="Calibri" w:cs="Calibri"/>
                <w:color w:val="000000" w:themeColor="text1"/>
              </w:rPr>
              <w:t>Female</w:t>
            </w:r>
          </w:p>
        </w:tc>
        <w:tc>
          <w:tcPr>
            <w:tcW w:w="1275" w:type="dxa"/>
          </w:tcPr>
          <w:p w14:paraId="4EE4838C" w14:textId="4C563DCD" w:rsidR="00997B44" w:rsidRPr="00532302" w:rsidRDefault="00792C55" w:rsidP="008275D2">
            <w:pPr>
              <w:jc w:val="right"/>
              <w:rPr>
                <w:rFonts w:ascii="Calibri" w:eastAsia="Calibri" w:hAnsi="Calibri" w:cs="Calibri"/>
                <w:color w:val="000000" w:themeColor="text1"/>
              </w:rPr>
            </w:pPr>
            <w:r w:rsidRPr="00532302">
              <w:rPr>
                <w:rFonts w:ascii="Calibri" w:eastAsia="Calibri" w:hAnsi="Calibri" w:cs="Calibri"/>
                <w:color w:val="000000" w:themeColor="text1"/>
              </w:rPr>
              <w:t>3,538</w:t>
            </w:r>
          </w:p>
        </w:tc>
        <w:tc>
          <w:tcPr>
            <w:tcW w:w="993" w:type="dxa"/>
          </w:tcPr>
          <w:p w14:paraId="2F97652E" w14:textId="51C37C93" w:rsidR="00997B44" w:rsidRPr="00532302" w:rsidRDefault="00792C55" w:rsidP="008275D2">
            <w:pPr>
              <w:jc w:val="right"/>
              <w:rPr>
                <w:rFonts w:ascii="Calibri" w:eastAsia="Calibri" w:hAnsi="Calibri" w:cs="Calibri"/>
                <w:color w:val="000000" w:themeColor="text1"/>
              </w:rPr>
            </w:pPr>
            <w:r w:rsidRPr="00532302">
              <w:rPr>
                <w:rFonts w:ascii="Calibri" w:eastAsia="Calibri" w:hAnsi="Calibri" w:cs="Calibri"/>
                <w:color w:val="000000" w:themeColor="text1"/>
              </w:rPr>
              <w:t>17.67</w:t>
            </w:r>
          </w:p>
        </w:tc>
        <w:tc>
          <w:tcPr>
            <w:tcW w:w="934" w:type="dxa"/>
          </w:tcPr>
          <w:p w14:paraId="5E116EF3" w14:textId="77777777" w:rsidR="00997B44" w:rsidRPr="00532302" w:rsidRDefault="00997B44" w:rsidP="008275D2">
            <w:pPr>
              <w:jc w:val="right"/>
              <w:rPr>
                <w:rFonts w:ascii="Calibri" w:eastAsia="Calibri" w:hAnsi="Calibri" w:cs="Calibri"/>
                <w:color w:val="000000" w:themeColor="text1"/>
              </w:rPr>
            </w:pPr>
          </w:p>
        </w:tc>
        <w:tc>
          <w:tcPr>
            <w:tcW w:w="1051" w:type="dxa"/>
          </w:tcPr>
          <w:p w14:paraId="5DDA46ED" w14:textId="77777777" w:rsidR="00997B44" w:rsidRPr="00532302" w:rsidRDefault="00997B44" w:rsidP="008275D2">
            <w:pPr>
              <w:rPr>
                <w:rFonts w:ascii="Times New Roman" w:eastAsia="Times New Roman" w:hAnsi="Times New Roman" w:cs="Times New Roman"/>
                <w:sz w:val="20"/>
                <w:szCs w:val="20"/>
              </w:rPr>
            </w:pPr>
          </w:p>
        </w:tc>
        <w:tc>
          <w:tcPr>
            <w:tcW w:w="1498" w:type="dxa"/>
          </w:tcPr>
          <w:p w14:paraId="19DFEC75" w14:textId="5913284C" w:rsidR="00997B44" w:rsidRPr="00532302" w:rsidRDefault="00792C55" w:rsidP="008275D2">
            <w:pPr>
              <w:jc w:val="right"/>
              <w:rPr>
                <w:rFonts w:ascii="Calibri" w:eastAsia="Calibri" w:hAnsi="Calibri" w:cs="Calibri"/>
                <w:color w:val="000000" w:themeColor="text1"/>
              </w:rPr>
            </w:pPr>
            <w:r w:rsidRPr="00532302">
              <w:rPr>
                <w:rFonts w:ascii="Calibri" w:eastAsia="Calibri" w:hAnsi="Calibri" w:cs="Calibri"/>
                <w:color w:val="000000" w:themeColor="text1"/>
              </w:rPr>
              <w:t>16.14</w:t>
            </w:r>
          </w:p>
        </w:tc>
        <w:tc>
          <w:tcPr>
            <w:tcW w:w="1336" w:type="dxa"/>
          </w:tcPr>
          <w:p w14:paraId="3E7F0FBB" w14:textId="77777777" w:rsidR="00997B44" w:rsidRPr="00532302" w:rsidRDefault="00997B44" w:rsidP="008275D2">
            <w:pPr>
              <w:jc w:val="right"/>
              <w:rPr>
                <w:rFonts w:ascii="Calibri" w:eastAsia="Calibri" w:hAnsi="Calibri" w:cs="Calibri"/>
                <w:color w:val="000000" w:themeColor="text1"/>
              </w:rPr>
            </w:pPr>
          </w:p>
        </w:tc>
        <w:tc>
          <w:tcPr>
            <w:tcW w:w="940" w:type="dxa"/>
          </w:tcPr>
          <w:p w14:paraId="2B8B60DC" w14:textId="77777777" w:rsidR="00997B44" w:rsidRPr="00532302" w:rsidRDefault="00997B44" w:rsidP="008275D2">
            <w:pPr>
              <w:rPr>
                <w:rFonts w:ascii="Times New Roman" w:eastAsia="Times New Roman" w:hAnsi="Times New Roman" w:cs="Times New Roman"/>
                <w:sz w:val="20"/>
                <w:szCs w:val="20"/>
              </w:rPr>
            </w:pPr>
          </w:p>
        </w:tc>
      </w:tr>
    </w:tbl>
    <w:p w14:paraId="6E882CCC" w14:textId="77777777" w:rsidR="00CE6E2A" w:rsidRPr="00AB5BD5" w:rsidRDefault="00CE6E2A" w:rsidP="00AB5BD5">
      <w:pPr>
        <w:rPr>
          <w:rFonts w:ascii="Calibri" w:eastAsia="Calibri" w:hAnsi="Calibri" w:cs="Calibri"/>
          <w:color w:val="000000" w:themeColor="text1"/>
        </w:rPr>
      </w:pPr>
    </w:p>
    <w:p w14:paraId="213D8ECD" w14:textId="63687E72" w:rsidR="00792C55" w:rsidRDefault="00CE6E2A" w:rsidP="00AB5BD5">
      <w:pPr>
        <w:pStyle w:val="Heading3"/>
        <w:rPr>
          <w:b/>
          <w:bCs/>
        </w:rPr>
      </w:pPr>
      <w:r w:rsidRPr="00CE6E2A">
        <w:rPr>
          <w:b/>
          <w:bCs/>
        </w:rPr>
        <w:t xml:space="preserve">Gender </w:t>
      </w:r>
      <w:r w:rsidR="00A3227B">
        <w:rPr>
          <w:b/>
          <w:bCs/>
        </w:rPr>
        <w:t>P</w:t>
      </w:r>
      <w:r w:rsidRPr="00CE6E2A">
        <w:rPr>
          <w:b/>
          <w:bCs/>
        </w:rPr>
        <w:t xml:space="preserve">ay </w:t>
      </w:r>
      <w:r w:rsidR="00A3227B">
        <w:rPr>
          <w:b/>
          <w:bCs/>
        </w:rPr>
        <w:t>Quartiles</w:t>
      </w:r>
    </w:p>
    <w:p w14:paraId="3110C8C4" w14:textId="567758EB" w:rsidR="6EBB2D3B" w:rsidRDefault="00792C55" w:rsidP="00A62D6C">
      <w:pPr>
        <w:rPr>
          <w:rFonts w:ascii="Calibri" w:eastAsia="Calibri" w:hAnsi="Calibri" w:cs="Calibri"/>
          <w:color w:val="000000" w:themeColor="text1"/>
        </w:rPr>
      </w:pPr>
      <w:r>
        <w:rPr>
          <w:rFonts w:ascii="Calibri" w:eastAsia="Calibri" w:hAnsi="Calibri" w:cs="Calibri"/>
          <w:color w:val="000000" w:themeColor="text1"/>
        </w:rPr>
        <w:t>T</w:t>
      </w:r>
      <w:r w:rsidRPr="00E12D61">
        <w:rPr>
          <w:rFonts w:ascii="Calibri" w:eastAsia="Calibri" w:hAnsi="Calibri" w:cs="Calibri"/>
          <w:b/>
          <w:bCs/>
          <w:color w:val="000000" w:themeColor="text1"/>
        </w:rPr>
        <w:t xml:space="preserve">able: </w:t>
      </w:r>
      <w:r w:rsidR="00A3227B" w:rsidRPr="00E12D61">
        <w:rPr>
          <w:rFonts w:ascii="Calibri" w:eastAsia="Calibri" w:hAnsi="Calibri" w:cs="Calibri"/>
          <w:b/>
          <w:bCs/>
          <w:color w:val="000000" w:themeColor="text1"/>
        </w:rPr>
        <w:t>The proportion of male and female colleagues by quartile pay bands</w:t>
      </w:r>
      <w:r w:rsidRPr="00E12D61">
        <w:rPr>
          <w:rFonts w:ascii="Calibri" w:eastAsia="Calibri" w:hAnsi="Calibri" w:cs="Calibri"/>
          <w:b/>
          <w:bCs/>
          <w:color w:val="000000" w:themeColor="text1"/>
        </w:rPr>
        <w:t>, 2022.</w:t>
      </w:r>
    </w:p>
    <w:tbl>
      <w:tblPr>
        <w:tblStyle w:val="TableGrid"/>
        <w:tblW w:w="5669" w:type="dxa"/>
        <w:tblLook w:val="04A0" w:firstRow="1" w:lastRow="0" w:firstColumn="1" w:lastColumn="0" w:noHBand="0" w:noVBand="1"/>
      </w:tblPr>
      <w:tblGrid>
        <w:gridCol w:w="2951"/>
        <w:gridCol w:w="1170"/>
        <w:gridCol w:w="1548"/>
      </w:tblGrid>
      <w:tr w:rsidR="00792C55" w:rsidRPr="009C3274" w14:paraId="58777EF2" w14:textId="77777777" w:rsidTr="00B57560">
        <w:trPr>
          <w:trHeight w:val="292"/>
        </w:trPr>
        <w:tc>
          <w:tcPr>
            <w:tcW w:w="2951" w:type="dxa"/>
            <w:noWrap/>
            <w:hideMark/>
          </w:tcPr>
          <w:p w14:paraId="75321A61" w14:textId="5A7A8B9D" w:rsidR="00792C55" w:rsidRPr="009C3274" w:rsidRDefault="00792C55" w:rsidP="00B57560">
            <w:pPr>
              <w:rPr>
                <w:rFonts w:ascii="Calibri" w:eastAsia="Times New Roman" w:hAnsi="Calibri" w:cs="Calibri"/>
                <w:b/>
                <w:bCs/>
                <w:color w:val="000000"/>
                <w:lang w:eastAsia="en-GB"/>
              </w:rPr>
            </w:pPr>
            <w:r>
              <w:rPr>
                <w:rFonts w:ascii="Calibri" w:eastAsia="Times New Roman" w:hAnsi="Calibri" w:cs="Calibri"/>
                <w:b/>
                <w:bCs/>
                <w:color w:val="000000"/>
                <w:lang w:eastAsia="en-GB"/>
              </w:rPr>
              <w:t>Pay bands</w:t>
            </w:r>
          </w:p>
        </w:tc>
        <w:tc>
          <w:tcPr>
            <w:tcW w:w="1170" w:type="dxa"/>
            <w:noWrap/>
            <w:hideMark/>
          </w:tcPr>
          <w:p w14:paraId="1E2AF8F8" w14:textId="77777777" w:rsidR="00792C55" w:rsidRPr="009C3274" w:rsidRDefault="00792C55" w:rsidP="00B57560">
            <w:pPr>
              <w:jc w:val="center"/>
              <w:rPr>
                <w:rFonts w:ascii="Calibri" w:eastAsia="Times New Roman" w:hAnsi="Calibri" w:cs="Calibri"/>
                <w:b/>
                <w:bCs/>
                <w:color w:val="000000"/>
                <w:lang w:eastAsia="en-GB"/>
              </w:rPr>
            </w:pPr>
            <w:r w:rsidRPr="009C3274">
              <w:rPr>
                <w:rFonts w:ascii="Calibri" w:eastAsia="Times New Roman" w:hAnsi="Calibri" w:cs="Calibri"/>
                <w:b/>
                <w:bCs/>
                <w:color w:val="000000"/>
                <w:lang w:eastAsia="en-GB"/>
              </w:rPr>
              <w:t>Female</w:t>
            </w:r>
          </w:p>
        </w:tc>
        <w:tc>
          <w:tcPr>
            <w:tcW w:w="1548" w:type="dxa"/>
            <w:noWrap/>
            <w:hideMark/>
          </w:tcPr>
          <w:p w14:paraId="719E1423" w14:textId="77777777" w:rsidR="00792C55" w:rsidRPr="009C3274" w:rsidRDefault="00792C55" w:rsidP="00B57560">
            <w:pPr>
              <w:jc w:val="center"/>
              <w:rPr>
                <w:rFonts w:ascii="Calibri" w:eastAsia="Times New Roman" w:hAnsi="Calibri" w:cs="Calibri"/>
                <w:b/>
                <w:bCs/>
                <w:color w:val="000000"/>
                <w:lang w:eastAsia="en-GB"/>
              </w:rPr>
            </w:pPr>
            <w:r w:rsidRPr="009C3274">
              <w:rPr>
                <w:rFonts w:ascii="Calibri" w:eastAsia="Times New Roman" w:hAnsi="Calibri" w:cs="Calibri"/>
                <w:b/>
                <w:bCs/>
                <w:color w:val="000000"/>
                <w:lang w:eastAsia="en-GB"/>
              </w:rPr>
              <w:t>Male</w:t>
            </w:r>
          </w:p>
        </w:tc>
      </w:tr>
      <w:tr w:rsidR="00792C55" w:rsidRPr="009C3274" w14:paraId="71C48737" w14:textId="77777777" w:rsidTr="00B57560">
        <w:trPr>
          <w:trHeight w:val="292"/>
        </w:trPr>
        <w:tc>
          <w:tcPr>
            <w:tcW w:w="2951" w:type="dxa"/>
            <w:noWrap/>
            <w:hideMark/>
          </w:tcPr>
          <w:p w14:paraId="7B4DEA0B" w14:textId="00BAE4F9" w:rsidR="00792C55" w:rsidRPr="00792C55" w:rsidRDefault="00792C55" w:rsidP="00B57560">
            <w:pPr>
              <w:rPr>
                <w:rFonts w:ascii="Calibri" w:eastAsia="Times New Roman" w:hAnsi="Calibri" w:cs="Calibri"/>
                <w:color w:val="000000"/>
                <w:lang w:eastAsia="en-GB"/>
              </w:rPr>
            </w:pPr>
            <w:r>
              <w:rPr>
                <w:rFonts w:ascii="Calibri" w:eastAsia="Times New Roman" w:hAnsi="Calibri" w:cs="Calibri"/>
                <w:color w:val="000000"/>
                <w:lang w:eastAsia="en-GB"/>
              </w:rPr>
              <w:t>Upper Quartile</w:t>
            </w:r>
          </w:p>
        </w:tc>
        <w:tc>
          <w:tcPr>
            <w:tcW w:w="1170" w:type="dxa"/>
            <w:noWrap/>
          </w:tcPr>
          <w:p w14:paraId="7718A9EB" w14:textId="75651D1C" w:rsidR="00792C55" w:rsidRPr="00532302" w:rsidRDefault="00532302" w:rsidP="00B57560">
            <w:pPr>
              <w:jc w:val="center"/>
              <w:rPr>
                <w:rFonts w:ascii="Calibri" w:hAnsi="Calibri" w:cs="Calibri"/>
                <w:b/>
                <w:bCs/>
                <w:color w:val="000000"/>
              </w:rPr>
            </w:pPr>
            <w:r w:rsidRPr="00532302">
              <w:rPr>
                <w:rFonts w:ascii="Calibri" w:hAnsi="Calibri" w:cs="Calibri"/>
                <w:b/>
                <w:bCs/>
                <w:color w:val="000000"/>
              </w:rPr>
              <w:t>41</w:t>
            </w:r>
            <w:r w:rsidR="00792C55" w:rsidRPr="00532302">
              <w:rPr>
                <w:rFonts w:ascii="Calibri" w:hAnsi="Calibri" w:cs="Calibri"/>
                <w:b/>
                <w:bCs/>
                <w:color w:val="000000"/>
              </w:rPr>
              <w:t>%</w:t>
            </w:r>
          </w:p>
        </w:tc>
        <w:tc>
          <w:tcPr>
            <w:tcW w:w="1548" w:type="dxa"/>
            <w:noWrap/>
          </w:tcPr>
          <w:p w14:paraId="083B9B61" w14:textId="08EF979D" w:rsidR="00792C55" w:rsidRPr="00532302" w:rsidRDefault="00532302" w:rsidP="00B57560">
            <w:pPr>
              <w:jc w:val="center"/>
              <w:rPr>
                <w:rFonts w:ascii="Calibri" w:eastAsia="Times New Roman" w:hAnsi="Calibri" w:cs="Calibri"/>
                <w:b/>
                <w:bCs/>
                <w:color w:val="000000"/>
                <w:lang w:eastAsia="en-GB"/>
              </w:rPr>
            </w:pPr>
            <w:r w:rsidRPr="00532302">
              <w:rPr>
                <w:rFonts w:ascii="Calibri" w:eastAsia="Times New Roman" w:hAnsi="Calibri" w:cs="Calibri"/>
                <w:b/>
                <w:bCs/>
                <w:color w:val="000000"/>
                <w:lang w:eastAsia="en-GB"/>
              </w:rPr>
              <w:t>59%</w:t>
            </w:r>
          </w:p>
        </w:tc>
      </w:tr>
      <w:tr w:rsidR="00792C55" w:rsidRPr="009C3274" w14:paraId="5F3B59BD" w14:textId="77777777" w:rsidTr="00B57560">
        <w:trPr>
          <w:trHeight w:val="292"/>
        </w:trPr>
        <w:tc>
          <w:tcPr>
            <w:tcW w:w="2951" w:type="dxa"/>
            <w:noWrap/>
            <w:hideMark/>
          </w:tcPr>
          <w:p w14:paraId="1B8444EA" w14:textId="78893C6B" w:rsidR="00792C55" w:rsidRPr="00792C55" w:rsidRDefault="00792C55" w:rsidP="00B57560">
            <w:pPr>
              <w:rPr>
                <w:rFonts w:ascii="Calibri" w:eastAsia="Times New Roman" w:hAnsi="Calibri" w:cs="Calibri"/>
                <w:color w:val="000000"/>
                <w:lang w:eastAsia="en-GB"/>
              </w:rPr>
            </w:pPr>
            <w:r>
              <w:rPr>
                <w:rFonts w:ascii="Calibri" w:eastAsia="Times New Roman" w:hAnsi="Calibri" w:cs="Calibri"/>
                <w:color w:val="000000"/>
                <w:lang w:eastAsia="en-GB"/>
              </w:rPr>
              <w:t>Upper Middle</w:t>
            </w:r>
          </w:p>
        </w:tc>
        <w:tc>
          <w:tcPr>
            <w:tcW w:w="1170" w:type="dxa"/>
            <w:noWrap/>
          </w:tcPr>
          <w:p w14:paraId="3C548945" w14:textId="6D058408" w:rsidR="00792C55" w:rsidRPr="00532302" w:rsidRDefault="00532302" w:rsidP="00B57560">
            <w:pPr>
              <w:jc w:val="center"/>
              <w:rPr>
                <w:rFonts w:ascii="Calibri" w:eastAsia="Times New Roman" w:hAnsi="Calibri" w:cs="Calibri"/>
                <w:b/>
                <w:bCs/>
                <w:color w:val="000000"/>
                <w:lang w:eastAsia="en-GB"/>
              </w:rPr>
            </w:pPr>
            <w:r w:rsidRPr="00532302">
              <w:rPr>
                <w:rFonts w:ascii="Calibri" w:eastAsia="Times New Roman" w:hAnsi="Calibri" w:cs="Calibri"/>
                <w:b/>
                <w:bCs/>
                <w:color w:val="000000"/>
                <w:lang w:eastAsia="en-GB"/>
              </w:rPr>
              <w:t>55%</w:t>
            </w:r>
          </w:p>
        </w:tc>
        <w:tc>
          <w:tcPr>
            <w:tcW w:w="1548" w:type="dxa"/>
            <w:noWrap/>
          </w:tcPr>
          <w:p w14:paraId="1222E1C1" w14:textId="4822C4E5" w:rsidR="00792C55" w:rsidRPr="00532302" w:rsidRDefault="00532302" w:rsidP="00B57560">
            <w:pPr>
              <w:jc w:val="center"/>
              <w:rPr>
                <w:rFonts w:ascii="Calibri" w:eastAsia="Times New Roman" w:hAnsi="Calibri" w:cs="Calibri"/>
                <w:b/>
                <w:bCs/>
                <w:color w:val="000000"/>
                <w:lang w:eastAsia="en-GB"/>
              </w:rPr>
            </w:pPr>
            <w:r w:rsidRPr="00532302">
              <w:rPr>
                <w:rFonts w:ascii="Calibri" w:eastAsia="Times New Roman" w:hAnsi="Calibri" w:cs="Calibri"/>
                <w:b/>
                <w:bCs/>
                <w:color w:val="000000"/>
                <w:lang w:eastAsia="en-GB"/>
              </w:rPr>
              <w:t>45%</w:t>
            </w:r>
          </w:p>
        </w:tc>
      </w:tr>
      <w:tr w:rsidR="00792C55" w:rsidRPr="009C3274" w14:paraId="4C8BC5F5" w14:textId="77777777" w:rsidTr="00B57560">
        <w:trPr>
          <w:trHeight w:val="292"/>
        </w:trPr>
        <w:tc>
          <w:tcPr>
            <w:tcW w:w="2951" w:type="dxa"/>
            <w:noWrap/>
            <w:hideMark/>
          </w:tcPr>
          <w:p w14:paraId="02EEA372" w14:textId="0F97A291" w:rsidR="00792C55" w:rsidRPr="00792C55" w:rsidRDefault="00792C55" w:rsidP="00B57560">
            <w:pPr>
              <w:rPr>
                <w:rFonts w:ascii="Calibri" w:eastAsia="Times New Roman" w:hAnsi="Calibri" w:cs="Calibri"/>
                <w:color w:val="000000"/>
                <w:lang w:eastAsia="en-GB"/>
              </w:rPr>
            </w:pPr>
            <w:r>
              <w:rPr>
                <w:rFonts w:ascii="Calibri" w:eastAsia="Times New Roman" w:hAnsi="Calibri" w:cs="Calibri"/>
                <w:color w:val="000000"/>
                <w:lang w:eastAsia="en-GB"/>
              </w:rPr>
              <w:t>Lower Middle</w:t>
            </w:r>
          </w:p>
        </w:tc>
        <w:tc>
          <w:tcPr>
            <w:tcW w:w="1170" w:type="dxa"/>
            <w:noWrap/>
          </w:tcPr>
          <w:p w14:paraId="18010297" w14:textId="336EE9B8" w:rsidR="00792C55" w:rsidRPr="00532302" w:rsidRDefault="00532302" w:rsidP="00B57560">
            <w:pPr>
              <w:jc w:val="center"/>
              <w:rPr>
                <w:rFonts w:ascii="Calibri" w:eastAsia="Times New Roman" w:hAnsi="Calibri" w:cs="Calibri"/>
                <w:b/>
                <w:bCs/>
                <w:color w:val="000000"/>
                <w:lang w:eastAsia="en-GB"/>
              </w:rPr>
            </w:pPr>
            <w:r w:rsidRPr="00532302">
              <w:rPr>
                <w:rFonts w:ascii="Calibri" w:eastAsia="Times New Roman" w:hAnsi="Calibri" w:cs="Calibri"/>
                <w:b/>
                <w:bCs/>
                <w:color w:val="000000"/>
                <w:lang w:eastAsia="en-GB"/>
              </w:rPr>
              <w:t>62%</w:t>
            </w:r>
          </w:p>
        </w:tc>
        <w:tc>
          <w:tcPr>
            <w:tcW w:w="1548" w:type="dxa"/>
            <w:noWrap/>
          </w:tcPr>
          <w:p w14:paraId="79CD1AD8" w14:textId="09537A28" w:rsidR="00792C55" w:rsidRPr="00532302" w:rsidRDefault="00532302" w:rsidP="00B57560">
            <w:pPr>
              <w:jc w:val="center"/>
              <w:rPr>
                <w:rFonts w:ascii="Calibri" w:eastAsia="Times New Roman" w:hAnsi="Calibri" w:cs="Calibri"/>
                <w:b/>
                <w:bCs/>
                <w:color w:val="000000"/>
                <w:lang w:eastAsia="en-GB"/>
              </w:rPr>
            </w:pPr>
            <w:r w:rsidRPr="00532302">
              <w:rPr>
                <w:rFonts w:ascii="Calibri" w:eastAsia="Times New Roman" w:hAnsi="Calibri" w:cs="Calibri"/>
                <w:b/>
                <w:bCs/>
                <w:color w:val="000000"/>
                <w:lang w:eastAsia="en-GB"/>
              </w:rPr>
              <w:t>38%</w:t>
            </w:r>
          </w:p>
        </w:tc>
      </w:tr>
      <w:tr w:rsidR="00792C55" w:rsidRPr="009C3274" w14:paraId="3716915B" w14:textId="77777777" w:rsidTr="00B57560">
        <w:trPr>
          <w:trHeight w:val="292"/>
        </w:trPr>
        <w:tc>
          <w:tcPr>
            <w:tcW w:w="2951" w:type="dxa"/>
            <w:noWrap/>
            <w:hideMark/>
          </w:tcPr>
          <w:p w14:paraId="29361AA7" w14:textId="523EE602" w:rsidR="00792C55" w:rsidRPr="00792C55" w:rsidRDefault="00792C55" w:rsidP="00B57560">
            <w:pPr>
              <w:rPr>
                <w:rFonts w:ascii="Calibri" w:eastAsia="Times New Roman" w:hAnsi="Calibri" w:cs="Calibri"/>
                <w:color w:val="000000"/>
                <w:lang w:eastAsia="en-GB"/>
              </w:rPr>
            </w:pPr>
            <w:r>
              <w:rPr>
                <w:rFonts w:ascii="Calibri" w:eastAsia="Times New Roman" w:hAnsi="Calibri" w:cs="Calibri"/>
                <w:color w:val="000000"/>
                <w:lang w:eastAsia="en-GB"/>
              </w:rPr>
              <w:t>Lower Quartile</w:t>
            </w:r>
          </w:p>
        </w:tc>
        <w:tc>
          <w:tcPr>
            <w:tcW w:w="1170" w:type="dxa"/>
            <w:noWrap/>
          </w:tcPr>
          <w:p w14:paraId="1BA9398F" w14:textId="320FDDB7" w:rsidR="00792C55" w:rsidRPr="00532302" w:rsidRDefault="00532302" w:rsidP="00B57560">
            <w:pPr>
              <w:jc w:val="center"/>
              <w:rPr>
                <w:rFonts w:ascii="Calibri" w:eastAsia="Times New Roman" w:hAnsi="Calibri" w:cs="Calibri"/>
                <w:b/>
                <w:bCs/>
                <w:color w:val="000000"/>
                <w:lang w:eastAsia="en-GB"/>
              </w:rPr>
            </w:pPr>
            <w:r w:rsidRPr="00532302">
              <w:rPr>
                <w:rFonts w:ascii="Calibri" w:eastAsia="Times New Roman" w:hAnsi="Calibri" w:cs="Calibri"/>
                <w:b/>
                <w:bCs/>
                <w:color w:val="000000"/>
                <w:lang w:eastAsia="en-GB"/>
              </w:rPr>
              <w:t>66%</w:t>
            </w:r>
          </w:p>
        </w:tc>
        <w:tc>
          <w:tcPr>
            <w:tcW w:w="1548" w:type="dxa"/>
            <w:noWrap/>
          </w:tcPr>
          <w:p w14:paraId="4611E1F7" w14:textId="404F9CFF" w:rsidR="00792C55" w:rsidRPr="00532302" w:rsidRDefault="00532302" w:rsidP="00B57560">
            <w:pPr>
              <w:jc w:val="center"/>
              <w:rPr>
                <w:rFonts w:ascii="Calibri" w:eastAsia="Times New Roman" w:hAnsi="Calibri" w:cs="Calibri"/>
                <w:b/>
                <w:bCs/>
                <w:color w:val="000000"/>
                <w:lang w:eastAsia="en-GB"/>
              </w:rPr>
            </w:pPr>
            <w:r w:rsidRPr="00532302">
              <w:rPr>
                <w:rFonts w:ascii="Calibri" w:eastAsia="Times New Roman" w:hAnsi="Calibri" w:cs="Calibri"/>
                <w:b/>
                <w:bCs/>
                <w:color w:val="000000"/>
                <w:lang w:eastAsia="en-GB"/>
              </w:rPr>
              <w:t>34</w:t>
            </w:r>
            <w:r w:rsidR="00792C55" w:rsidRPr="00532302">
              <w:rPr>
                <w:rFonts w:ascii="Calibri" w:eastAsia="Times New Roman" w:hAnsi="Calibri" w:cs="Calibri"/>
                <w:b/>
                <w:bCs/>
                <w:color w:val="000000"/>
                <w:lang w:eastAsia="en-GB"/>
              </w:rPr>
              <w:t>%</w:t>
            </w:r>
          </w:p>
        </w:tc>
      </w:tr>
    </w:tbl>
    <w:p w14:paraId="116F97D5" w14:textId="77777777" w:rsidR="00792C55" w:rsidRDefault="00792C55" w:rsidP="00A62D6C">
      <w:pPr>
        <w:rPr>
          <w:rFonts w:ascii="Calibri" w:eastAsia="Calibri" w:hAnsi="Calibri" w:cs="Calibri"/>
          <w:color w:val="000000" w:themeColor="text1"/>
        </w:rPr>
      </w:pPr>
    </w:p>
    <w:p w14:paraId="40C053C5" w14:textId="25E9B272" w:rsidR="00A3227B" w:rsidRDefault="00A3227B" w:rsidP="00A62D6C">
      <w:pPr>
        <w:rPr>
          <w:rFonts w:ascii="Calibri" w:eastAsia="Calibri" w:hAnsi="Calibri" w:cs="Calibri"/>
          <w:color w:val="000000" w:themeColor="text1"/>
        </w:rPr>
      </w:pPr>
      <w:r w:rsidRPr="00A3227B">
        <w:rPr>
          <w:rFonts w:ascii="Calibri" w:eastAsia="Calibri" w:hAnsi="Calibri" w:cs="Calibri"/>
          <w:color w:val="000000" w:themeColor="text1"/>
        </w:rPr>
        <w:t>The overall gender distribution is 56% female and 44% male. The upper quartile and the lower quartile record the largest pay gaps due to their distribution. The upper quartile holds 34% of all male colleagues and only 18% of all female colleagues. This is reversed in the lower quartile which holds 19% of all male colleagues and 30% of all female colleagues. A major factor in driving our gender pay gap.</w:t>
      </w:r>
    </w:p>
    <w:p w14:paraId="25055DC1" w14:textId="3D0414E7" w:rsidR="6EBB2D3B" w:rsidRDefault="00A3227B" w:rsidP="53766C39">
      <w:pPr>
        <w:pStyle w:val="Heading3"/>
        <w:rPr>
          <w:rFonts w:ascii="Calibri Light" w:eastAsia="Calibri Light" w:hAnsi="Calibri Light" w:cs="Calibri Light"/>
          <w:color w:val="1F4D78"/>
        </w:rPr>
      </w:pPr>
      <w:bookmarkStart w:id="215" w:name="_Toc86832949"/>
      <w:bookmarkStart w:id="216" w:name="_Toc87435117"/>
      <w:bookmarkStart w:id="217" w:name="_Toc87856857"/>
      <w:bookmarkStart w:id="218" w:name="_Toc94185465"/>
      <w:bookmarkStart w:id="219" w:name="_Hlk132388699"/>
      <w:r w:rsidRPr="00A3227B">
        <w:rPr>
          <w:rFonts w:ascii="Calibri Light" w:eastAsia="Calibri Light" w:hAnsi="Calibri Light" w:cs="Calibri Light"/>
          <w:b/>
          <w:bCs/>
          <w:color w:val="1F4D78"/>
        </w:rPr>
        <w:t xml:space="preserve">Quartile </w:t>
      </w:r>
      <w:bookmarkEnd w:id="215"/>
      <w:bookmarkEnd w:id="216"/>
      <w:bookmarkEnd w:id="217"/>
      <w:bookmarkEnd w:id="218"/>
      <w:r>
        <w:rPr>
          <w:rFonts w:ascii="Calibri Light" w:eastAsia="Calibri Light" w:hAnsi="Calibri Light" w:cs="Calibri Light"/>
          <w:b/>
          <w:bCs/>
          <w:color w:val="1F4D78"/>
        </w:rPr>
        <w:t>Movement</w:t>
      </w:r>
      <w:r w:rsidR="00FA1C7C">
        <w:rPr>
          <w:rFonts w:ascii="Calibri Light" w:eastAsia="Calibri Light" w:hAnsi="Calibri Light" w:cs="Calibri Light"/>
          <w:b/>
          <w:bCs/>
          <w:color w:val="1F4D78"/>
        </w:rPr>
        <w:t xml:space="preserve"> </w:t>
      </w:r>
    </w:p>
    <w:p w14:paraId="7481DC27" w14:textId="6ACD97C2" w:rsidR="00532302" w:rsidRPr="00E12D61" w:rsidRDefault="00532302" w:rsidP="006B569A">
      <w:pPr>
        <w:rPr>
          <w:rFonts w:ascii="Calibri" w:eastAsia="Calibri" w:hAnsi="Calibri" w:cs="Calibri"/>
          <w:b/>
          <w:bCs/>
          <w:color w:val="000000" w:themeColor="text1"/>
        </w:rPr>
      </w:pPr>
      <w:r w:rsidRPr="00E12D61">
        <w:rPr>
          <w:rFonts w:ascii="Calibri" w:eastAsia="Calibri" w:hAnsi="Calibri" w:cs="Calibri"/>
          <w:b/>
          <w:bCs/>
          <w:color w:val="000000" w:themeColor="text1"/>
        </w:rPr>
        <w:t xml:space="preserve">Table: </w:t>
      </w:r>
      <w:r w:rsidR="00A3227B" w:rsidRPr="00E12D61">
        <w:rPr>
          <w:rFonts w:ascii="Calibri" w:eastAsia="Calibri" w:hAnsi="Calibri" w:cs="Calibri"/>
          <w:b/>
          <w:bCs/>
          <w:color w:val="000000" w:themeColor="text1"/>
        </w:rPr>
        <w:t>Quartile trends year on year</w:t>
      </w:r>
      <w:r w:rsidRPr="00E12D61">
        <w:rPr>
          <w:rFonts w:ascii="Calibri" w:eastAsia="Calibri" w:hAnsi="Calibri" w:cs="Calibri"/>
          <w:b/>
          <w:bCs/>
          <w:color w:val="000000" w:themeColor="text1"/>
        </w:rPr>
        <w:t>.</w:t>
      </w:r>
    </w:p>
    <w:tbl>
      <w:tblPr>
        <w:tblStyle w:val="TableGrid"/>
        <w:tblW w:w="9016" w:type="dxa"/>
        <w:tblLook w:val="04A0" w:firstRow="1" w:lastRow="0" w:firstColumn="1" w:lastColumn="0" w:noHBand="0" w:noVBand="1"/>
      </w:tblPr>
      <w:tblGrid>
        <w:gridCol w:w="2951"/>
        <w:gridCol w:w="1023"/>
        <w:gridCol w:w="1170"/>
        <w:gridCol w:w="1162"/>
        <w:gridCol w:w="1548"/>
        <w:gridCol w:w="1162"/>
      </w:tblGrid>
      <w:tr w:rsidR="00532302" w:rsidRPr="009C3274" w14:paraId="1920FC02" w14:textId="4CFC861B" w:rsidTr="00532302">
        <w:trPr>
          <w:trHeight w:val="292"/>
        </w:trPr>
        <w:tc>
          <w:tcPr>
            <w:tcW w:w="2951" w:type="dxa"/>
            <w:noWrap/>
            <w:hideMark/>
          </w:tcPr>
          <w:p w14:paraId="71B51178" w14:textId="66458DD6" w:rsidR="00532302" w:rsidRPr="009C3274" w:rsidRDefault="00532302" w:rsidP="00B57560">
            <w:pPr>
              <w:rPr>
                <w:rFonts w:ascii="Calibri" w:eastAsia="Times New Roman" w:hAnsi="Calibri" w:cs="Calibri"/>
                <w:b/>
                <w:bCs/>
                <w:color w:val="000000"/>
                <w:lang w:eastAsia="en-GB"/>
              </w:rPr>
            </w:pPr>
            <w:r>
              <w:rPr>
                <w:rFonts w:ascii="Calibri" w:eastAsia="Times New Roman" w:hAnsi="Calibri" w:cs="Calibri"/>
                <w:b/>
                <w:bCs/>
                <w:color w:val="000000"/>
                <w:lang w:eastAsia="en-GB"/>
              </w:rPr>
              <w:t>Pay bands</w:t>
            </w:r>
          </w:p>
        </w:tc>
        <w:tc>
          <w:tcPr>
            <w:tcW w:w="1023" w:type="dxa"/>
          </w:tcPr>
          <w:p w14:paraId="2DD0FB08" w14:textId="77777777" w:rsidR="00532302" w:rsidRPr="009C3274" w:rsidRDefault="00532302" w:rsidP="00B57560">
            <w:pPr>
              <w:jc w:val="center"/>
              <w:rPr>
                <w:rFonts w:ascii="Calibri" w:eastAsia="Times New Roman" w:hAnsi="Calibri" w:cs="Calibri"/>
                <w:b/>
                <w:bCs/>
                <w:color w:val="000000"/>
                <w:lang w:eastAsia="en-GB"/>
              </w:rPr>
            </w:pPr>
          </w:p>
        </w:tc>
        <w:tc>
          <w:tcPr>
            <w:tcW w:w="1170" w:type="dxa"/>
            <w:noWrap/>
            <w:hideMark/>
          </w:tcPr>
          <w:p w14:paraId="4A6C1E75" w14:textId="1938A9A6" w:rsidR="00532302" w:rsidRPr="009C3274" w:rsidRDefault="00532302" w:rsidP="00B57560">
            <w:pPr>
              <w:jc w:val="center"/>
              <w:rPr>
                <w:rFonts w:ascii="Calibri" w:eastAsia="Times New Roman" w:hAnsi="Calibri" w:cs="Calibri"/>
                <w:b/>
                <w:bCs/>
                <w:color w:val="000000"/>
                <w:lang w:eastAsia="en-GB"/>
              </w:rPr>
            </w:pPr>
            <w:r w:rsidRPr="009C3274">
              <w:rPr>
                <w:rFonts w:ascii="Calibri" w:eastAsia="Times New Roman" w:hAnsi="Calibri" w:cs="Calibri"/>
                <w:b/>
                <w:bCs/>
                <w:color w:val="000000"/>
                <w:lang w:eastAsia="en-GB"/>
              </w:rPr>
              <w:t>Female</w:t>
            </w:r>
          </w:p>
        </w:tc>
        <w:tc>
          <w:tcPr>
            <w:tcW w:w="1162" w:type="dxa"/>
          </w:tcPr>
          <w:p w14:paraId="3028376E" w14:textId="4738611D" w:rsidR="00532302" w:rsidRPr="009C3274" w:rsidRDefault="00532302" w:rsidP="00B57560">
            <w:pPr>
              <w:jc w:val="center"/>
              <w:rPr>
                <w:rFonts w:ascii="Calibri" w:eastAsia="Times New Roman" w:hAnsi="Calibri" w:cs="Calibri"/>
                <w:b/>
                <w:bCs/>
                <w:color w:val="000000"/>
                <w:lang w:eastAsia="en-GB"/>
              </w:rPr>
            </w:pPr>
            <w:r w:rsidRPr="00532302">
              <w:rPr>
                <w:rFonts w:ascii="Calibri" w:eastAsia="Calibri" w:hAnsi="Calibri" w:cs="Calibri"/>
                <w:b/>
                <w:bCs/>
                <w:color w:val="000000" w:themeColor="text1"/>
              </w:rPr>
              <w:t>Change %</w:t>
            </w:r>
          </w:p>
        </w:tc>
        <w:tc>
          <w:tcPr>
            <w:tcW w:w="1548" w:type="dxa"/>
            <w:noWrap/>
            <w:hideMark/>
          </w:tcPr>
          <w:p w14:paraId="30D93DB4" w14:textId="1A9A652D" w:rsidR="00532302" w:rsidRPr="009C3274" w:rsidRDefault="00532302" w:rsidP="00B57560">
            <w:pPr>
              <w:jc w:val="center"/>
              <w:rPr>
                <w:rFonts w:ascii="Calibri" w:eastAsia="Times New Roman" w:hAnsi="Calibri" w:cs="Calibri"/>
                <w:b/>
                <w:bCs/>
                <w:color w:val="000000"/>
                <w:lang w:eastAsia="en-GB"/>
              </w:rPr>
            </w:pPr>
            <w:r w:rsidRPr="009C3274">
              <w:rPr>
                <w:rFonts w:ascii="Calibri" w:eastAsia="Times New Roman" w:hAnsi="Calibri" w:cs="Calibri"/>
                <w:b/>
                <w:bCs/>
                <w:color w:val="000000"/>
                <w:lang w:eastAsia="en-GB"/>
              </w:rPr>
              <w:t>Male</w:t>
            </w:r>
          </w:p>
        </w:tc>
        <w:tc>
          <w:tcPr>
            <w:tcW w:w="1162" w:type="dxa"/>
          </w:tcPr>
          <w:p w14:paraId="0EB1A808" w14:textId="58F262A3" w:rsidR="00532302" w:rsidRPr="009C3274" w:rsidRDefault="00532302" w:rsidP="00B57560">
            <w:pPr>
              <w:jc w:val="center"/>
              <w:rPr>
                <w:rFonts w:ascii="Calibri" w:eastAsia="Times New Roman" w:hAnsi="Calibri" w:cs="Calibri"/>
                <w:b/>
                <w:bCs/>
                <w:color w:val="000000"/>
                <w:lang w:eastAsia="en-GB"/>
              </w:rPr>
            </w:pPr>
            <w:r w:rsidRPr="00532302">
              <w:rPr>
                <w:rFonts w:ascii="Calibri" w:eastAsia="Calibri" w:hAnsi="Calibri" w:cs="Calibri"/>
                <w:b/>
                <w:bCs/>
                <w:color w:val="000000" w:themeColor="text1"/>
              </w:rPr>
              <w:t>Change %</w:t>
            </w:r>
          </w:p>
        </w:tc>
      </w:tr>
      <w:tr w:rsidR="00532302" w:rsidRPr="00532302" w14:paraId="02BB71D6" w14:textId="5087F5CD" w:rsidTr="00532302">
        <w:trPr>
          <w:trHeight w:val="292"/>
        </w:trPr>
        <w:tc>
          <w:tcPr>
            <w:tcW w:w="2951" w:type="dxa"/>
            <w:noWrap/>
            <w:hideMark/>
          </w:tcPr>
          <w:p w14:paraId="2170957F" w14:textId="77777777" w:rsidR="00532302" w:rsidRPr="00532302" w:rsidRDefault="00532302" w:rsidP="00B57560">
            <w:pPr>
              <w:rPr>
                <w:rFonts w:ascii="Calibri" w:eastAsia="Times New Roman" w:hAnsi="Calibri" w:cs="Calibri"/>
                <w:color w:val="000000"/>
                <w:lang w:eastAsia="en-GB"/>
              </w:rPr>
            </w:pPr>
            <w:r w:rsidRPr="00532302">
              <w:rPr>
                <w:rFonts w:ascii="Calibri" w:eastAsia="Times New Roman" w:hAnsi="Calibri" w:cs="Calibri"/>
                <w:color w:val="000000"/>
                <w:lang w:eastAsia="en-GB"/>
              </w:rPr>
              <w:t>Upper Quartile</w:t>
            </w:r>
          </w:p>
        </w:tc>
        <w:tc>
          <w:tcPr>
            <w:tcW w:w="1023" w:type="dxa"/>
          </w:tcPr>
          <w:p w14:paraId="080BF2A1" w14:textId="6EA862B9" w:rsidR="00532302" w:rsidRPr="00532302" w:rsidRDefault="00532302" w:rsidP="00E916FA">
            <w:pPr>
              <w:rPr>
                <w:rFonts w:ascii="Calibri" w:hAnsi="Calibri" w:cs="Calibri"/>
                <w:color w:val="000000"/>
              </w:rPr>
            </w:pPr>
            <w:r w:rsidRPr="00532302">
              <w:rPr>
                <w:rFonts w:ascii="Calibri" w:hAnsi="Calibri" w:cs="Calibri"/>
                <w:color w:val="000000"/>
              </w:rPr>
              <w:t>2021</w:t>
            </w:r>
          </w:p>
        </w:tc>
        <w:tc>
          <w:tcPr>
            <w:tcW w:w="1170" w:type="dxa"/>
            <w:noWrap/>
          </w:tcPr>
          <w:p w14:paraId="7723E886" w14:textId="1447E830" w:rsidR="00532302" w:rsidRPr="00532302" w:rsidRDefault="00532302" w:rsidP="00B57560">
            <w:pPr>
              <w:jc w:val="center"/>
              <w:rPr>
                <w:rFonts w:ascii="Calibri" w:hAnsi="Calibri" w:cs="Calibri"/>
                <w:color w:val="000000"/>
              </w:rPr>
            </w:pPr>
            <w:r w:rsidRPr="00532302">
              <w:rPr>
                <w:rFonts w:ascii="Calibri" w:hAnsi="Calibri" w:cs="Calibri"/>
                <w:color w:val="000000"/>
              </w:rPr>
              <w:t>41%</w:t>
            </w:r>
          </w:p>
        </w:tc>
        <w:tc>
          <w:tcPr>
            <w:tcW w:w="1162" w:type="dxa"/>
          </w:tcPr>
          <w:p w14:paraId="571E6B79" w14:textId="3B14F7EA" w:rsidR="00532302" w:rsidRPr="00532302" w:rsidRDefault="00532302" w:rsidP="00B57560">
            <w:pPr>
              <w:jc w:val="center"/>
              <w:rPr>
                <w:rFonts w:ascii="Calibri" w:eastAsia="Times New Roman" w:hAnsi="Calibri" w:cs="Calibri"/>
                <w:color w:val="000000"/>
                <w:lang w:eastAsia="en-GB"/>
              </w:rPr>
            </w:pPr>
            <w:r>
              <w:rPr>
                <w:rFonts w:ascii="Calibri" w:eastAsia="Times New Roman" w:hAnsi="Calibri" w:cs="Calibri"/>
                <w:color w:val="000000"/>
                <w:lang w:eastAsia="en-GB"/>
              </w:rPr>
              <w:t>0%</w:t>
            </w:r>
          </w:p>
        </w:tc>
        <w:tc>
          <w:tcPr>
            <w:tcW w:w="1548" w:type="dxa"/>
            <w:noWrap/>
          </w:tcPr>
          <w:p w14:paraId="379C5025" w14:textId="600A55DD" w:rsidR="00532302" w:rsidRPr="00532302" w:rsidRDefault="00532302" w:rsidP="00B57560">
            <w:pPr>
              <w:jc w:val="center"/>
              <w:rPr>
                <w:rFonts w:ascii="Calibri" w:eastAsia="Times New Roman" w:hAnsi="Calibri" w:cs="Calibri"/>
                <w:color w:val="000000"/>
                <w:lang w:eastAsia="en-GB"/>
              </w:rPr>
            </w:pPr>
            <w:r w:rsidRPr="00532302">
              <w:rPr>
                <w:rFonts w:ascii="Calibri" w:eastAsia="Times New Roman" w:hAnsi="Calibri" w:cs="Calibri"/>
                <w:color w:val="000000"/>
                <w:lang w:eastAsia="en-GB"/>
              </w:rPr>
              <w:t>59%</w:t>
            </w:r>
          </w:p>
        </w:tc>
        <w:tc>
          <w:tcPr>
            <w:tcW w:w="1162" w:type="dxa"/>
          </w:tcPr>
          <w:p w14:paraId="0AED8A79" w14:textId="695A7F24" w:rsidR="00532302" w:rsidRPr="00532302" w:rsidRDefault="00532302" w:rsidP="00B57560">
            <w:pPr>
              <w:jc w:val="center"/>
              <w:rPr>
                <w:rFonts w:ascii="Calibri" w:eastAsia="Times New Roman" w:hAnsi="Calibri" w:cs="Calibri"/>
                <w:color w:val="000000"/>
                <w:lang w:eastAsia="en-GB"/>
              </w:rPr>
            </w:pPr>
            <w:r>
              <w:rPr>
                <w:rFonts w:ascii="Calibri" w:eastAsia="Times New Roman" w:hAnsi="Calibri" w:cs="Calibri"/>
                <w:color w:val="000000"/>
                <w:lang w:eastAsia="en-GB"/>
              </w:rPr>
              <w:t>0%</w:t>
            </w:r>
          </w:p>
        </w:tc>
      </w:tr>
      <w:tr w:rsidR="00532302" w:rsidRPr="00532302" w14:paraId="47BE8303" w14:textId="55E604FE" w:rsidTr="00532302">
        <w:trPr>
          <w:trHeight w:val="292"/>
        </w:trPr>
        <w:tc>
          <w:tcPr>
            <w:tcW w:w="2951" w:type="dxa"/>
            <w:noWrap/>
          </w:tcPr>
          <w:p w14:paraId="06E595A9" w14:textId="77777777" w:rsidR="00532302" w:rsidRPr="00532302" w:rsidRDefault="00532302" w:rsidP="00532302">
            <w:pPr>
              <w:rPr>
                <w:rFonts w:ascii="Calibri" w:eastAsia="Times New Roman" w:hAnsi="Calibri" w:cs="Calibri"/>
                <w:color w:val="000000"/>
                <w:lang w:eastAsia="en-GB"/>
              </w:rPr>
            </w:pPr>
          </w:p>
        </w:tc>
        <w:tc>
          <w:tcPr>
            <w:tcW w:w="1023" w:type="dxa"/>
          </w:tcPr>
          <w:p w14:paraId="30AB191C" w14:textId="51A66068" w:rsidR="00532302" w:rsidRPr="00532302" w:rsidRDefault="00532302" w:rsidP="00E916FA">
            <w:pPr>
              <w:rPr>
                <w:rFonts w:ascii="Calibri" w:hAnsi="Calibri" w:cs="Calibri"/>
                <w:color w:val="000000"/>
              </w:rPr>
            </w:pPr>
            <w:r w:rsidRPr="00532302">
              <w:rPr>
                <w:rFonts w:ascii="Calibri" w:hAnsi="Calibri" w:cs="Calibri"/>
                <w:color w:val="000000"/>
              </w:rPr>
              <w:t>2022</w:t>
            </w:r>
          </w:p>
        </w:tc>
        <w:tc>
          <w:tcPr>
            <w:tcW w:w="1170" w:type="dxa"/>
            <w:noWrap/>
          </w:tcPr>
          <w:p w14:paraId="2EEF212A" w14:textId="77164E5C" w:rsidR="00532302" w:rsidRPr="00532302" w:rsidRDefault="00532302" w:rsidP="00532302">
            <w:pPr>
              <w:jc w:val="center"/>
              <w:rPr>
                <w:rFonts w:ascii="Calibri" w:hAnsi="Calibri" w:cs="Calibri"/>
                <w:color w:val="000000"/>
              </w:rPr>
            </w:pPr>
            <w:r w:rsidRPr="00532302">
              <w:rPr>
                <w:rFonts w:ascii="Calibri" w:hAnsi="Calibri" w:cs="Calibri"/>
                <w:color w:val="000000"/>
              </w:rPr>
              <w:t>41%</w:t>
            </w:r>
          </w:p>
        </w:tc>
        <w:tc>
          <w:tcPr>
            <w:tcW w:w="1162" w:type="dxa"/>
          </w:tcPr>
          <w:p w14:paraId="41C2FC6F" w14:textId="77777777" w:rsidR="00532302" w:rsidRPr="00532302" w:rsidRDefault="00532302" w:rsidP="00532302">
            <w:pPr>
              <w:jc w:val="center"/>
              <w:rPr>
                <w:rFonts w:ascii="Calibri" w:eastAsia="Times New Roman" w:hAnsi="Calibri" w:cs="Calibri"/>
                <w:color w:val="000000"/>
                <w:lang w:eastAsia="en-GB"/>
              </w:rPr>
            </w:pPr>
          </w:p>
        </w:tc>
        <w:tc>
          <w:tcPr>
            <w:tcW w:w="1548" w:type="dxa"/>
            <w:noWrap/>
          </w:tcPr>
          <w:p w14:paraId="26D80181" w14:textId="5781C691" w:rsidR="00532302" w:rsidRPr="00532302" w:rsidRDefault="00532302" w:rsidP="00532302">
            <w:pPr>
              <w:jc w:val="center"/>
              <w:rPr>
                <w:rFonts w:ascii="Calibri" w:eastAsia="Times New Roman" w:hAnsi="Calibri" w:cs="Calibri"/>
                <w:color w:val="000000"/>
                <w:lang w:eastAsia="en-GB"/>
              </w:rPr>
            </w:pPr>
            <w:r w:rsidRPr="00532302">
              <w:rPr>
                <w:rFonts w:ascii="Calibri" w:eastAsia="Times New Roman" w:hAnsi="Calibri" w:cs="Calibri"/>
                <w:color w:val="000000"/>
                <w:lang w:eastAsia="en-GB"/>
              </w:rPr>
              <w:t>59%</w:t>
            </w:r>
          </w:p>
        </w:tc>
        <w:tc>
          <w:tcPr>
            <w:tcW w:w="1162" w:type="dxa"/>
          </w:tcPr>
          <w:p w14:paraId="745A7796" w14:textId="77777777" w:rsidR="00532302" w:rsidRPr="00532302" w:rsidRDefault="00532302" w:rsidP="00532302">
            <w:pPr>
              <w:jc w:val="center"/>
              <w:rPr>
                <w:rFonts w:ascii="Calibri" w:eastAsia="Times New Roman" w:hAnsi="Calibri" w:cs="Calibri"/>
                <w:color w:val="000000"/>
                <w:lang w:eastAsia="en-GB"/>
              </w:rPr>
            </w:pPr>
          </w:p>
        </w:tc>
      </w:tr>
      <w:tr w:rsidR="00532302" w:rsidRPr="00532302" w14:paraId="271ACBE1" w14:textId="4DAAA43C" w:rsidTr="00532302">
        <w:trPr>
          <w:trHeight w:val="292"/>
        </w:trPr>
        <w:tc>
          <w:tcPr>
            <w:tcW w:w="2951" w:type="dxa"/>
            <w:noWrap/>
            <w:hideMark/>
          </w:tcPr>
          <w:p w14:paraId="6C0AE2C6" w14:textId="77777777" w:rsidR="00532302" w:rsidRPr="00532302" w:rsidRDefault="00532302" w:rsidP="00532302">
            <w:pPr>
              <w:rPr>
                <w:rFonts w:ascii="Calibri" w:eastAsia="Times New Roman" w:hAnsi="Calibri" w:cs="Calibri"/>
                <w:color w:val="000000"/>
                <w:lang w:eastAsia="en-GB"/>
              </w:rPr>
            </w:pPr>
            <w:r w:rsidRPr="00532302">
              <w:rPr>
                <w:rFonts w:ascii="Calibri" w:eastAsia="Times New Roman" w:hAnsi="Calibri" w:cs="Calibri"/>
                <w:color w:val="000000"/>
                <w:lang w:eastAsia="en-GB"/>
              </w:rPr>
              <w:t>Upper Middle</w:t>
            </w:r>
          </w:p>
        </w:tc>
        <w:tc>
          <w:tcPr>
            <w:tcW w:w="1023" w:type="dxa"/>
          </w:tcPr>
          <w:p w14:paraId="1FE11F0D" w14:textId="1B4E4E39" w:rsidR="00532302" w:rsidRPr="00532302" w:rsidRDefault="00532302" w:rsidP="00E916FA">
            <w:pPr>
              <w:rPr>
                <w:rFonts w:ascii="Calibri" w:eastAsia="Times New Roman" w:hAnsi="Calibri" w:cs="Calibri"/>
                <w:color w:val="000000"/>
                <w:lang w:eastAsia="en-GB"/>
              </w:rPr>
            </w:pPr>
            <w:r w:rsidRPr="00532302">
              <w:rPr>
                <w:rFonts w:ascii="Calibri" w:hAnsi="Calibri" w:cs="Calibri"/>
                <w:color w:val="000000"/>
              </w:rPr>
              <w:t>2021</w:t>
            </w:r>
          </w:p>
        </w:tc>
        <w:tc>
          <w:tcPr>
            <w:tcW w:w="1170" w:type="dxa"/>
            <w:noWrap/>
          </w:tcPr>
          <w:p w14:paraId="78AAC36F" w14:textId="63EAE2E5" w:rsidR="00532302" w:rsidRPr="00532302" w:rsidRDefault="00532302" w:rsidP="00532302">
            <w:pPr>
              <w:jc w:val="center"/>
              <w:rPr>
                <w:rFonts w:ascii="Calibri" w:eastAsia="Times New Roman" w:hAnsi="Calibri" w:cs="Calibri"/>
                <w:color w:val="000000"/>
                <w:lang w:eastAsia="en-GB"/>
              </w:rPr>
            </w:pPr>
            <w:r w:rsidRPr="00532302">
              <w:rPr>
                <w:rFonts w:ascii="Calibri" w:eastAsia="Times New Roman" w:hAnsi="Calibri" w:cs="Calibri"/>
                <w:color w:val="000000"/>
                <w:lang w:eastAsia="en-GB"/>
              </w:rPr>
              <w:t>55%</w:t>
            </w:r>
          </w:p>
        </w:tc>
        <w:tc>
          <w:tcPr>
            <w:tcW w:w="1162" w:type="dxa"/>
          </w:tcPr>
          <w:p w14:paraId="6EF34953" w14:textId="0FFFF4AE" w:rsidR="00532302" w:rsidRPr="00532302" w:rsidRDefault="00532302" w:rsidP="00532302">
            <w:pPr>
              <w:jc w:val="center"/>
              <w:rPr>
                <w:rFonts w:ascii="Calibri" w:eastAsia="Times New Roman" w:hAnsi="Calibri" w:cs="Calibri"/>
                <w:color w:val="000000"/>
                <w:lang w:eastAsia="en-GB"/>
              </w:rPr>
            </w:pPr>
            <w:r>
              <w:rPr>
                <w:rFonts w:ascii="Calibri" w:eastAsia="Times New Roman" w:hAnsi="Calibri" w:cs="Calibri"/>
                <w:color w:val="000000"/>
                <w:lang w:eastAsia="en-GB"/>
              </w:rPr>
              <w:t>0%</w:t>
            </w:r>
          </w:p>
        </w:tc>
        <w:tc>
          <w:tcPr>
            <w:tcW w:w="1548" w:type="dxa"/>
            <w:noWrap/>
          </w:tcPr>
          <w:p w14:paraId="4A1873AF" w14:textId="0F5B0FAB" w:rsidR="00532302" w:rsidRPr="00532302" w:rsidRDefault="00532302" w:rsidP="00532302">
            <w:pPr>
              <w:jc w:val="center"/>
              <w:rPr>
                <w:rFonts w:ascii="Calibri" w:eastAsia="Times New Roman" w:hAnsi="Calibri" w:cs="Calibri"/>
                <w:color w:val="000000"/>
                <w:lang w:eastAsia="en-GB"/>
              </w:rPr>
            </w:pPr>
            <w:r w:rsidRPr="00532302">
              <w:rPr>
                <w:rFonts w:ascii="Calibri" w:eastAsia="Times New Roman" w:hAnsi="Calibri" w:cs="Calibri"/>
                <w:color w:val="000000"/>
                <w:lang w:eastAsia="en-GB"/>
              </w:rPr>
              <w:t>45%</w:t>
            </w:r>
          </w:p>
        </w:tc>
        <w:tc>
          <w:tcPr>
            <w:tcW w:w="1162" w:type="dxa"/>
          </w:tcPr>
          <w:p w14:paraId="266B7D9F" w14:textId="4FCC704E" w:rsidR="00532302" w:rsidRPr="00532302" w:rsidRDefault="00532302" w:rsidP="00532302">
            <w:pPr>
              <w:jc w:val="center"/>
              <w:rPr>
                <w:rFonts w:ascii="Calibri" w:eastAsia="Times New Roman" w:hAnsi="Calibri" w:cs="Calibri"/>
                <w:color w:val="000000"/>
                <w:lang w:eastAsia="en-GB"/>
              </w:rPr>
            </w:pPr>
            <w:r>
              <w:rPr>
                <w:rFonts w:ascii="Calibri" w:eastAsia="Times New Roman" w:hAnsi="Calibri" w:cs="Calibri"/>
                <w:color w:val="000000"/>
                <w:lang w:eastAsia="en-GB"/>
              </w:rPr>
              <w:t>0%</w:t>
            </w:r>
          </w:p>
        </w:tc>
      </w:tr>
      <w:tr w:rsidR="00532302" w:rsidRPr="00532302" w14:paraId="7798AB6F" w14:textId="04BEFEDA" w:rsidTr="00532302">
        <w:trPr>
          <w:trHeight w:val="292"/>
        </w:trPr>
        <w:tc>
          <w:tcPr>
            <w:tcW w:w="2951" w:type="dxa"/>
            <w:noWrap/>
          </w:tcPr>
          <w:p w14:paraId="3DF572EE" w14:textId="77777777" w:rsidR="00532302" w:rsidRPr="00532302" w:rsidRDefault="00532302" w:rsidP="00532302">
            <w:pPr>
              <w:rPr>
                <w:rFonts w:ascii="Calibri" w:eastAsia="Times New Roman" w:hAnsi="Calibri" w:cs="Calibri"/>
                <w:color w:val="000000"/>
                <w:lang w:eastAsia="en-GB"/>
              </w:rPr>
            </w:pPr>
          </w:p>
        </w:tc>
        <w:tc>
          <w:tcPr>
            <w:tcW w:w="1023" w:type="dxa"/>
          </w:tcPr>
          <w:p w14:paraId="0C46D6C7" w14:textId="261B96F5" w:rsidR="00532302" w:rsidRPr="00532302" w:rsidRDefault="00532302" w:rsidP="00E916FA">
            <w:pPr>
              <w:rPr>
                <w:rFonts w:ascii="Calibri" w:eastAsia="Times New Roman" w:hAnsi="Calibri" w:cs="Calibri"/>
                <w:color w:val="000000"/>
                <w:lang w:eastAsia="en-GB"/>
              </w:rPr>
            </w:pPr>
            <w:r w:rsidRPr="00532302">
              <w:rPr>
                <w:rFonts w:ascii="Calibri" w:hAnsi="Calibri" w:cs="Calibri"/>
                <w:color w:val="000000"/>
              </w:rPr>
              <w:t>2022</w:t>
            </w:r>
          </w:p>
        </w:tc>
        <w:tc>
          <w:tcPr>
            <w:tcW w:w="1170" w:type="dxa"/>
            <w:noWrap/>
          </w:tcPr>
          <w:p w14:paraId="14AA3A41" w14:textId="0D3ED1F4" w:rsidR="00532302" w:rsidRPr="00532302" w:rsidRDefault="00532302" w:rsidP="00532302">
            <w:pPr>
              <w:jc w:val="center"/>
              <w:rPr>
                <w:rFonts w:ascii="Calibri" w:eastAsia="Times New Roman" w:hAnsi="Calibri" w:cs="Calibri"/>
                <w:color w:val="000000"/>
                <w:lang w:eastAsia="en-GB"/>
              </w:rPr>
            </w:pPr>
            <w:r w:rsidRPr="00532302">
              <w:rPr>
                <w:rFonts w:ascii="Calibri" w:eastAsia="Times New Roman" w:hAnsi="Calibri" w:cs="Calibri"/>
                <w:color w:val="000000"/>
                <w:lang w:eastAsia="en-GB"/>
              </w:rPr>
              <w:t>55%</w:t>
            </w:r>
          </w:p>
        </w:tc>
        <w:tc>
          <w:tcPr>
            <w:tcW w:w="1162" w:type="dxa"/>
          </w:tcPr>
          <w:p w14:paraId="68D08D99" w14:textId="77777777" w:rsidR="00532302" w:rsidRPr="00532302" w:rsidRDefault="00532302" w:rsidP="00532302">
            <w:pPr>
              <w:jc w:val="center"/>
              <w:rPr>
                <w:rFonts w:ascii="Calibri" w:eastAsia="Times New Roman" w:hAnsi="Calibri" w:cs="Calibri"/>
                <w:color w:val="000000"/>
                <w:lang w:eastAsia="en-GB"/>
              </w:rPr>
            </w:pPr>
          </w:p>
        </w:tc>
        <w:tc>
          <w:tcPr>
            <w:tcW w:w="1548" w:type="dxa"/>
            <w:noWrap/>
          </w:tcPr>
          <w:p w14:paraId="61899EA9" w14:textId="28AB9446" w:rsidR="00532302" w:rsidRPr="00532302" w:rsidRDefault="00532302" w:rsidP="00532302">
            <w:pPr>
              <w:jc w:val="center"/>
              <w:rPr>
                <w:rFonts w:ascii="Calibri" w:eastAsia="Times New Roman" w:hAnsi="Calibri" w:cs="Calibri"/>
                <w:color w:val="000000"/>
                <w:lang w:eastAsia="en-GB"/>
              </w:rPr>
            </w:pPr>
            <w:r w:rsidRPr="00532302">
              <w:rPr>
                <w:rFonts w:ascii="Calibri" w:eastAsia="Times New Roman" w:hAnsi="Calibri" w:cs="Calibri"/>
                <w:color w:val="000000"/>
                <w:lang w:eastAsia="en-GB"/>
              </w:rPr>
              <w:t>45%</w:t>
            </w:r>
          </w:p>
        </w:tc>
        <w:tc>
          <w:tcPr>
            <w:tcW w:w="1162" w:type="dxa"/>
          </w:tcPr>
          <w:p w14:paraId="2E43AC9D" w14:textId="77777777" w:rsidR="00532302" w:rsidRPr="00532302" w:rsidRDefault="00532302" w:rsidP="00532302">
            <w:pPr>
              <w:jc w:val="center"/>
              <w:rPr>
                <w:rFonts w:ascii="Calibri" w:eastAsia="Times New Roman" w:hAnsi="Calibri" w:cs="Calibri"/>
                <w:color w:val="000000"/>
                <w:lang w:eastAsia="en-GB"/>
              </w:rPr>
            </w:pPr>
          </w:p>
        </w:tc>
      </w:tr>
      <w:tr w:rsidR="00532302" w:rsidRPr="00532302" w14:paraId="477E0FA7" w14:textId="7541DE72" w:rsidTr="00532302">
        <w:trPr>
          <w:trHeight w:val="292"/>
        </w:trPr>
        <w:tc>
          <w:tcPr>
            <w:tcW w:w="2951" w:type="dxa"/>
            <w:noWrap/>
            <w:hideMark/>
          </w:tcPr>
          <w:p w14:paraId="4A0C3F45" w14:textId="77777777" w:rsidR="00532302" w:rsidRPr="00532302" w:rsidRDefault="00532302" w:rsidP="00532302">
            <w:pPr>
              <w:rPr>
                <w:rFonts w:ascii="Calibri" w:eastAsia="Times New Roman" w:hAnsi="Calibri" w:cs="Calibri"/>
                <w:color w:val="000000"/>
                <w:lang w:eastAsia="en-GB"/>
              </w:rPr>
            </w:pPr>
            <w:r w:rsidRPr="00532302">
              <w:rPr>
                <w:rFonts w:ascii="Calibri" w:eastAsia="Times New Roman" w:hAnsi="Calibri" w:cs="Calibri"/>
                <w:color w:val="000000"/>
                <w:lang w:eastAsia="en-GB"/>
              </w:rPr>
              <w:t>Lower Middle</w:t>
            </w:r>
          </w:p>
        </w:tc>
        <w:tc>
          <w:tcPr>
            <w:tcW w:w="1023" w:type="dxa"/>
          </w:tcPr>
          <w:p w14:paraId="7BB45868" w14:textId="0370540F" w:rsidR="00532302" w:rsidRPr="00532302" w:rsidRDefault="00532302" w:rsidP="00E916FA">
            <w:pPr>
              <w:rPr>
                <w:rFonts w:ascii="Calibri" w:eastAsia="Times New Roman" w:hAnsi="Calibri" w:cs="Calibri"/>
                <w:color w:val="000000"/>
                <w:lang w:eastAsia="en-GB"/>
              </w:rPr>
            </w:pPr>
            <w:r w:rsidRPr="00532302">
              <w:rPr>
                <w:rFonts w:ascii="Calibri" w:hAnsi="Calibri" w:cs="Calibri"/>
                <w:color w:val="000000"/>
              </w:rPr>
              <w:t>2021</w:t>
            </w:r>
          </w:p>
        </w:tc>
        <w:tc>
          <w:tcPr>
            <w:tcW w:w="1170" w:type="dxa"/>
            <w:noWrap/>
          </w:tcPr>
          <w:p w14:paraId="52E40D50" w14:textId="0B10E49B" w:rsidR="00532302" w:rsidRPr="00532302" w:rsidRDefault="00532302" w:rsidP="00532302">
            <w:pPr>
              <w:jc w:val="center"/>
              <w:rPr>
                <w:rFonts w:ascii="Calibri" w:eastAsia="Times New Roman" w:hAnsi="Calibri" w:cs="Calibri"/>
                <w:color w:val="000000"/>
                <w:lang w:eastAsia="en-GB"/>
              </w:rPr>
            </w:pPr>
            <w:r>
              <w:rPr>
                <w:rFonts w:ascii="Calibri" w:eastAsia="Times New Roman" w:hAnsi="Calibri" w:cs="Calibri"/>
                <w:color w:val="000000"/>
                <w:lang w:eastAsia="en-GB"/>
              </w:rPr>
              <w:t>59%</w:t>
            </w:r>
          </w:p>
        </w:tc>
        <w:tc>
          <w:tcPr>
            <w:tcW w:w="1162" w:type="dxa"/>
          </w:tcPr>
          <w:p w14:paraId="42DEE2F6" w14:textId="4397E432" w:rsidR="00532302" w:rsidRPr="00532302" w:rsidRDefault="00532302" w:rsidP="00532302">
            <w:pPr>
              <w:jc w:val="center"/>
              <w:rPr>
                <w:rFonts w:ascii="Calibri" w:eastAsia="Times New Roman" w:hAnsi="Calibri" w:cs="Calibri"/>
                <w:color w:val="000000"/>
                <w:lang w:eastAsia="en-GB"/>
              </w:rPr>
            </w:pPr>
            <w:r>
              <w:rPr>
                <w:rFonts w:ascii="Calibri" w:eastAsia="Times New Roman" w:hAnsi="Calibri" w:cs="Calibri"/>
                <w:color w:val="000000"/>
                <w:lang w:eastAsia="en-GB"/>
              </w:rPr>
              <w:t>+3%</w:t>
            </w:r>
          </w:p>
        </w:tc>
        <w:tc>
          <w:tcPr>
            <w:tcW w:w="1548" w:type="dxa"/>
            <w:noWrap/>
          </w:tcPr>
          <w:p w14:paraId="11DF8856" w14:textId="31D1CE3E" w:rsidR="00532302" w:rsidRPr="00532302" w:rsidRDefault="00532302" w:rsidP="00532302">
            <w:pPr>
              <w:jc w:val="center"/>
              <w:rPr>
                <w:rFonts w:ascii="Calibri" w:eastAsia="Times New Roman" w:hAnsi="Calibri" w:cs="Calibri"/>
                <w:color w:val="000000"/>
                <w:lang w:eastAsia="en-GB"/>
              </w:rPr>
            </w:pPr>
            <w:r w:rsidRPr="00532302">
              <w:rPr>
                <w:rFonts w:ascii="Calibri" w:eastAsia="Times New Roman" w:hAnsi="Calibri" w:cs="Calibri"/>
                <w:color w:val="000000"/>
                <w:lang w:eastAsia="en-GB"/>
              </w:rPr>
              <w:t>41%</w:t>
            </w:r>
          </w:p>
        </w:tc>
        <w:tc>
          <w:tcPr>
            <w:tcW w:w="1162" w:type="dxa"/>
          </w:tcPr>
          <w:p w14:paraId="7AFFAC54" w14:textId="7C4AF60D" w:rsidR="00532302" w:rsidRPr="00532302" w:rsidRDefault="00532302" w:rsidP="00532302">
            <w:pPr>
              <w:jc w:val="center"/>
              <w:rPr>
                <w:rFonts w:ascii="Calibri" w:eastAsia="Times New Roman" w:hAnsi="Calibri" w:cs="Calibri"/>
                <w:color w:val="000000"/>
                <w:lang w:eastAsia="en-GB"/>
              </w:rPr>
            </w:pPr>
            <w:r>
              <w:rPr>
                <w:rFonts w:ascii="Calibri" w:eastAsia="Times New Roman" w:hAnsi="Calibri" w:cs="Calibri"/>
                <w:color w:val="000000"/>
                <w:lang w:eastAsia="en-GB"/>
              </w:rPr>
              <w:t>-3%</w:t>
            </w:r>
          </w:p>
        </w:tc>
      </w:tr>
      <w:tr w:rsidR="00532302" w:rsidRPr="00532302" w14:paraId="51008387" w14:textId="3D830887" w:rsidTr="00532302">
        <w:trPr>
          <w:trHeight w:val="292"/>
        </w:trPr>
        <w:tc>
          <w:tcPr>
            <w:tcW w:w="2951" w:type="dxa"/>
            <w:noWrap/>
          </w:tcPr>
          <w:p w14:paraId="4CD70E89" w14:textId="77777777" w:rsidR="00532302" w:rsidRPr="00532302" w:rsidRDefault="00532302" w:rsidP="00532302">
            <w:pPr>
              <w:rPr>
                <w:rFonts w:ascii="Calibri" w:eastAsia="Times New Roman" w:hAnsi="Calibri" w:cs="Calibri"/>
                <w:color w:val="000000"/>
                <w:lang w:eastAsia="en-GB"/>
              </w:rPr>
            </w:pPr>
          </w:p>
        </w:tc>
        <w:tc>
          <w:tcPr>
            <w:tcW w:w="1023" w:type="dxa"/>
          </w:tcPr>
          <w:p w14:paraId="7155725C" w14:textId="0755768E" w:rsidR="00532302" w:rsidRPr="00532302" w:rsidRDefault="00532302" w:rsidP="00E916FA">
            <w:pPr>
              <w:rPr>
                <w:rFonts w:ascii="Calibri" w:eastAsia="Times New Roman" w:hAnsi="Calibri" w:cs="Calibri"/>
                <w:color w:val="000000"/>
                <w:lang w:eastAsia="en-GB"/>
              </w:rPr>
            </w:pPr>
            <w:r w:rsidRPr="00532302">
              <w:rPr>
                <w:rFonts w:ascii="Calibri" w:hAnsi="Calibri" w:cs="Calibri"/>
                <w:color w:val="000000"/>
              </w:rPr>
              <w:t>2022</w:t>
            </w:r>
          </w:p>
        </w:tc>
        <w:tc>
          <w:tcPr>
            <w:tcW w:w="1170" w:type="dxa"/>
            <w:noWrap/>
          </w:tcPr>
          <w:p w14:paraId="76113665" w14:textId="5F2A756D" w:rsidR="00532302" w:rsidRPr="00532302" w:rsidRDefault="00532302" w:rsidP="00532302">
            <w:pPr>
              <w:jc w:val="center"/>
              <w:rPr>
                <w:rFonts w:ascii="Calibri" w:eastAsia="Times New Roman" w:hAnsi="Calibri" w:cs="Calibri"/>
                <w:color w:val="000000"/>
                <w:lang w:eastAsia="en-GB"/>
              </w:rPr>
            </w:pPr>
            <w:r w:rsidRPr="00532302">
              <w:rPr>
                <w:rFonts w:ascii="Calibri" w:eastAsia="Times New Roman" w:hAnsi="Calibri" w:cs="Calibri"/>
                <w:color w:val="000000"/>
                <w:lang w:eastAsia="en-GB"/>
              </w:rPr>
              <w:t>62%</w:t>
            </w:r>
          </w:p>
        </w:tc>
        <w:tc>
          <w:tcPr>
            <w:tcW w:w="1162" w:type="dxa"/>
          </w:tcPr>
          <w:p w14:paraId="0678AED7" w14:textId="77777777" w:rsidR="00532302" w:rsidRPr="00532302" w:rsidRDefault="00532302" w:rsidP="00532302">
            <w:pPr>
              <w:jc w:val="center"/>
              <w:rPr>
                <w:rFonts w:ascii="Calibri" w:eastAsia="Times New Roman" w:hAnsi="Calibri" w:cs="Calibri"/>
                <w:color w:val="000000"/>
                <w:lang w:eastAsia="en-GB"/>
              </w:rPr>
            </w:pPr>
          </w:p>
        </w:tc>
        <w:tc>
          <w:tcPr>
            <w:tcW w:w="1548" w:type="dxa"/>
            <w:noWrap/>
          </w:tcPr>
          <w:p w14:paraId="0D60AE04" w14:textId="596414F9" w:rsidR="00532302" w:rsidRPr="00532302" w:rsidRDefault="00532302" w:rsidP="00532302">
            <w:pPr>
              <w:jc w:val="center"/>
              <w:rPr>
                <w:rFonts w:ascii="Calibri" w:eastAsia="Times New Roman" w:hAnsi="Calibri" w:cs="Calibri"/>
                <w:color w:val="000000"/>
                <w:lang w:eastAsia="en-GB"/>
              </w:rPr>
            </w:pPr>
            <w:r w:rsidRPr="00532302">
              <w:rPr>
                <w:rFonts w:ascii="Calibri" w:eastAsia="Times New Roman" w:hAnsi="Calibri" w:cs="Calibri"/>
                <w:color w:val="000000"/>
                <w:lang w:eastAsia="en-GB"/>
              </w:rPr>
              <w:t>38%</w:t>
            </w:r>
          </w:p>
        </w:tc>
        <w:tc>
          <w:tcPr>
            <w:tcW w:w="1162" w:type="dxa"/>
          </w:tcPr>
          <w:p w14:paraId="66EB002D" w14:textId="77777777" w:rsidR="00532302" w:rsidRPr="00532302" w:rsidRDefault="00532302" w:rsidP="00532302">
            <w:pPr>
              <w:jc w:val="center"/>
              <w:rPr>
                <w:rFonts w:ascii="Calibri" w:eastAsia="Times New Roman" w:hAnsi="Calibri" w:cs="Calibri"/>
                <w:color w:val="000000"/>
                <w:lang w:eastAsia="en-GB"/>
              </w:rPr>
            </w:pPr>
          </w:p>
        </w:tc>
      </w:tr>
      <w:tr w:rsidR="00532302" w:rsidRPr="00532302" w14:paraId="7CAB6C75" w14:textId="6072B615" w:rsidTr="00532302">
        <w:trPr>
          <w:trHeight w:val="292"/>
        </w:trPr>
        <w:tc>
          <w:tcPr>
            <w:tcW w:w="2951" w:type="dxa"/>
            <w:noWrap/>
            <w:hideMark/>
          </w:tcPr>
          <w:p w14:paraId="4A2B4D4A" w14:textId="77777777" w:rsidR="00532302" w:rsidRPr="00532302" w:rsidRDefault="00532302" w:rsidP="00532302">
            <w:pPr>
              <w:rPr>
                <w:rFonts w:ascii="Calibri" w:eastAsia="Times New Roman" w:hAnsi="Calibri" w:cs="Calibri"/>
                <w:color w:val="000000"/>
                <w:lang w:eastAsia="en-GB"/>
              </w:rPr>
            </w:pPr>
            <w:r w:rsidRPr="00532302">
              <w:rPr>
                <w:rFonts w:ascii="Calibri" w:eastAsia="Times New Roman" w:hAnsi="Calibri" w:cs="Calibri"/>
                <w:color w:val="000000"/>
                <w:lang w:eastAsia="en-GB"/>
              </w:rPr>
              <w:t>Lower Quartile</w:t>
            </w:r>
          </w:p>
        </w:tc>
        <w:tc>
          <w:tcPr>
            <w:tcW w:w="1023" w:type="dxa"/>
          </w:tcPr>
          <w:p w14:paraId="20CAE84B" w14:textId="02E7CBE3" w:rsidR="00532302" w:rsidRPr="00532302" w:rsidRDefault="00532302" w:rsidP="00E916FA">
            <w:pPr>
              <w:rPr>
                <w:rFonts w:ascii="Calibri" w:eastAsia="Times New Roman" w:hAnsi="Calibri" w:cs="Calibri"/>
                <w:color w:val="000000"/>
                <w:lang w:eastAsia="en-GB"/>
              </w:rPr>
            </w:pPr>
            <w:r w:rsidRPr="00532302">
              <w:rPr>
                <w:rFonts w:ascii="Calibri" w:hAnsi="Calibri" w:cs="Calibri"/>
                <w:color w:val="000000"/>
              </w:rPr>
              <w:t>2021</w:t>
            </w:r>
          </w:p>
        </w:tc>
        <w:tc>
          <w:tcPr>
            <w:tcW w:w="1170" w:type="dxa"/>
            <w:noWrap/>
          </w:tcPr>
          <w:p w14:paraId="7A40DEA1" w14:textId="496B6CAC" w:rsidR="00532302" w:rsidRPr="00532302" w:rsidRDefault="00532302" w:rsidP="00532302">
            <w:pPr>
              <w:jc w:val="center"/>
              <w:rPr>
                <w:rFonts w:ascii="Calibri" w:eastAsia="Times New Roman" w:hAnsi="Calibri" w:cs="Calibri"/>
                <w:color w:val="000000"/>
                <w:lang w:eastAsia="en-GB"/>
              </w:rPr>
            </w:pPr>
            <w:r>
              <w:rPr>
                <w:rFonts w:ascii="Calibri" w:eastAsia="Times New Roman" w:hAnsi="Calibri" w:cs="Calibri"/>
                <w:color w:val="000000"/>
                <w:lang w:eastAsia="en-GB"/>
              </w:rPr>
              <w:t>67%</w:t>
            </w:r>
          </w:p>
        </w:tc>
        <w:tc>
          <w:tcPr>
            <w:tcW w:w="1162" w:type="dxa"/>
          </w:tcPr>
          <w:p w14:paraId="229EB90C" w14:textId="15CE32D1" w:rsidR="00532302" w:rsidRPr="00532302" w:rsidRDefault="00532302" w:rsidP="00532302">
            <w:pPr>
              <w:jc w:val="center"/>
              <w:rPr>
                <w:rFonts w:ascii="Calibri" w:eastAsia="Times New Roman" w:hAnsi="Calibri" w:cs="Calibri"/>
                <w:color w:val="000000"/>
                <w:lang w:eastAsia="en-GB"/>
              </w:rPr>
            </w:pPr>
            <w:r>
              <w:rPr>
                <w:rFonts w:ascii="Calibri" w:eastAsia="Times New Roman" w:hAnsi="Calibri" w:cs="Calibri"/>
                <w:color w:val="000000"/>
                <w:lang w:eastAsia="en-GB"/>
              </w:rPr>
              <w:t>-1%</w:t>
            </w:r>
          </w:p>
        </w:tc>
        <w:tc>
          <w:tcPr>
            <w:tcW w:w="1548" w:type="dxa"/>
            <w:noWrap/>
          </w:tcPr>
          <w:p w14:paraId="25A9C305" w14:textId="2BAABB02" w:rsidR="00532302" w:rsidRPr="00532302" w:rsidRDefault="00532302" w:rsidP="00532302">
            <w:pPr>
              <w:jc w:val="center"/>
              <w:rPr>
                <w:rFonts w:ascii="Calibri" w:eastAsia="Times New Roman" w:hAnsi="Calibri" w:cs="Calibri"/>
                <w:color w:val="000000"/>
                <w:lang w:eastAsia="en-GB"/>
              </w:rPr>
            </w:pPr>
            <w:r w:rsidRPr="00532302">
              <w:rPr>
                <w:rFonts w:ascii="Calibri" w:eastAsia="Times New Roman" w:hAnsi="Calibri" w:cs="Calibri"/>
                <w:color w:val="000000"/>
                <w:lang w:eastAsia="en-GB"/>
              </w:rPr>
              <w:t>33%</w:t>
            </w:r>
          </w:p>
        </w:tc>
        <w:tc>
          <w:tcPr>
            <w:tcW w:w="1162" w:type="dxa"/>
          </w:tcPr>
          <w:p w14:paraId="2BC02783" w14:textId="5757A7BA" w:rsidR="00532302" w:rsidRPr="00532302" w:rsidRDefault="00532302" w:rsidP="00532302">
            <w:pPr>
              <w:jc w:val="center"/>
              <w:rPr>
                <w:rFonts w:ascii="Calibri" w:eastAsia="Times New Roman" w:hAnsi="Calibri" w:cs="Calibri"/>
                <w:color w:val="000000"/>
                <w:lang w:eastAsia="en-GB"/>
              </w:rPr>
            </w:pPr>
            <w:r>
              <w:rPr>
                <w:rFonts w:ascii="Calibri" w:eastAsia="Times New Roman" w:hAnsi="Calibri" w:cs="Calibri"/>
                <w:color w:val="000000"/>
                <w:lang w:eastAsia="en-GB"/>
              </w:rPr>
              <w:t>+1%</w:t>
            </w:r>
          </w:p>
        </w:tc>
      </w:tr>
      <w:tr w:rsidR="00532302" w:rsidRPr="00532302" w14:paraId="7F54CE0F" w14:textId="05B884F1" w:rsidTr="00532302">
        <w:trPr>
          <w:trHeight w:val="292"/>
        </w:trPr>
        <w:tc>
          <w:tcPr>
            <w:tcW w:w="2951" w:type="dxa"/>
            <w:noWrap/>
          </w:tcPr>
          <w:p w14:paraId="69F20AAA" w14:textId="77777777" w:rsidR="00532302" w:rsidRPr="00532302" w:rsidRDefault="00532302" w:rsidP="00532302">
            <w:pPr>
              <w:rPr>
                <w:rFonts w:ascii="Calibri" w:eastAsia="Times New Roman" w:hAnsi="Calibri" w:cs="Calibri"/>
                <w:color w:val="000000"/>
                <w:lang w:eastAsia="en-GB"/>
              </w:rPr>
            </w:pPr>
          </w:p>
        </w:tc>
        <w:tc>
          <w:tcPr>
            <w:tcW w:w="1023" w:type="dxa"/>
          </w:tcPr>
          <w:p w14:paraId="05901299" w14:textId="118574B2" w:rsidR="00532302" w:rsidRPr="00532302" w:rsidRDefault="00532302" w:rsidP="00E916FA">
            <w:pPr>
              <w:rPr>
                <w:rFonts w:ascii="Calibri" w:eastAsia="Times New Roman" w:hAnsi="Calibri" w:cs="Calibri"/>
                <w:color w:val="000000"/>
                <w:lang w:eastAsia="en-GB"/>
              </w:rPr>
            </w:pPr>
            <w:r w:rsidRPr="00532302">
              <w:rPr>
                <w:rFonts w:ascii="Calibri" w:hAnsi="Calibri" w:cs="Calibri"/>
                <w:color w:val="000000"/>
              </w:rPr>
              <w:t>2022</w:t>
            </w:r>
          </w:p>
        </w:tc>
        <w:tc>
          <w:tcPr>
            <w:tcW w:w="1170" w:type="dxa"/>
            <w:noWrap/>
          </w:tcPr>
          <w:p w14:paraId="03262E35" w14:textId="638D93C9" w:rsidR="00532302" w:rsidRPr="00532302" w:rsidRDefault="00532302" w:rsidP="00532302">
            <w:pPr>
              <w:jc w:val="center"/>
              <w:rPr>
                <w:rFonts w:ascii="Calibri" w:eastAsia="Times New Roman" w:hAnsi="Calibri" w:cs="Calibri"/>
                <w:color w:val="000000"/>
                <w:lang w:eastAsia="en-GB"/>
              </w:rPr>
            </w:pPr>
            <w:r>
              <w:rPr>
                <w:rFonts w:ascii="Calibri" w:eastAsia="Times New Roman" w:hAnsi="Calibri" w:cs="Calibri"/>
                <w:color w:val="000000"/>
                <w:lang w:eastAsia="en-GB"/>
              </w:rPr>
              <w:t>66%</w:t>
            </w:r>
          </w:p>
        </w:tc>
        <w:tc>
          <w:tcPr>
            <w:tcW w:w="1162" w:type="dxa"/>
          </w:tcPr>
          <w:p w14:paraId="7D2B68A2" w14:textId="77777777" w:rsidR="00532302" w:rsidRPr="00532302" w:rsidRDefault="00532302" w:rsidP="00532302">
            <w:pPr>
              <w:jc w:val="center"/>
              <w:rPr>
                <w:rFonts w:ascii="Calibri" w:eastAsia="Times New Roman" w:hAnsi="Calibri" w:cs="Calibri"/>
                <w:color w:val="000000"/>
                <w:lang w:eastAsia="en-GB"/>
              </w:rPr>
            </w:pPr>
          </w:p>
        </w:tc>
        <w:tc>
          <w:tcPr>
            <w:tcW w:w="1548" w:type="dxa"/>
            <w:noWrap/>
          </w:tcPr>
          <w:p w14:paraId="6AC76AB0" w14:textId="6F858299" w:rsidR="00532302" w:rsidRPr="00532302" w:rsidRDefault="00532302" w:rsidP="00532302">
            <w:pPr>
              <w:jc w:val="center"/>
              <w:rPr>
                <w:rFonts w:ascii="Calibri" w:eastAsia="Times New Roman" w:hAnsi="Calibri" w:cs="Calibri"/>
                <w:color w:val="000000"/>
                <w:lang w:eastAsia="en-GB"/>
              </w:rPr>
            </w:pPr>
            <w:r w:rsidRPr="00532302">
              <w:rPr>
                <w:rFonts w:ascii="Calibri" w:eastAsia="Times New Roman" w:hAnsi="Calibri" w:cs="Calibri"/>
                <w:color w:val="000000"/>
                <w:lang w:eastAsia="en-GB"/>
              </w:rPr>
              <w:t>34%</w:t>
            </w:r>
          </w:p>
        </w:tc>
        <w:tc>
          <w:tcPr>
            <w:tcW w:w="1162" w:type="dxa"/>
          </w:tcPr>
          <w:p w14:paraId="12D0B572" w14:textId="77777777" w:rsidR="00532302" w:rsidRPr="00532302" w:rsidRDefault="00532302" w:rsidP="00532302">
            <w:pPr>
              <w:jc w:val="center"/>
              <w:rPr>
                <w:rFonts w:ascii="Calibri" w:eastAsia="Times New Roman" w:hAnsi="Calibri" w:cs="Calibri"/>
                <w:color w:val="000000"/>
                <w:lang w:eastAsia="en-GB"/>
              </w:rPr>
            </w:pPr>
          </w:p>
        </w:tc>
      </w:tr>
    </w:tbl>
    <w:p w14:paraId="0351AD49" w14:textId="2C821D2B" w:rsidR="006B569A" w:rsidRPr="00532302" w:rsidRDefault="006B569A" w:rsidP="006B569A">
      <w:pPr>
        <w:rPr>
          <w:rFonts w:ascii="Calibri" w:eastAsia="Calibri" w:hAnsi="Calibri" w:cs="Calibri"/>
          <w:color w:val="000000" w:themeColor="text1"/>
          <w:highlight w:val="yellow"/>
        </w:rPr>
      </w:pPr>
    </w:p>
    <w:p w14:paraId="5B7CE7AD" w14:textId="75887BFC" w:rsidR="6EBB2D3B" w:rsidRDefault="00A3227B" w:rsidP="00A3227B">
      <w:pPr>
        <w:spacing w:after="200" w:line="276" w:lineRule="auto"/>
        <w:rPr>
          <w:rFonts w:ascii="Calibri" w:eastAsia="Calibri" w:hAnsi="Calibri" w:cs="Calibri"/>
          <w:color w:val="000000" w:themeColor="text1"/>
        </w:rPr>
      </w:pPr>
      <w:r w:rsidRPr="00A3227B">
        <w:rPr>
          <w:rFonts w:ascii="Calibri" w:eastAsia="Calibri" w:hAnsi="Calibri" w:cs="Calibri"/>
          <w:color w:val="000000" w:themeColor="text1"/>
        </w:rPr>
        <w:t>There has been movement in 2 of the 4 quartiles since last year. Female colleague representation has increased by 3% in the lower middle quartile and male colleague representation has increased by 1% in the lower quartile. Increasing the male colleague population in the lower quartile will support the reduction of the gender pay gap, however, this may have been offset by the increase in female colleagues in the lower middle quartile. This is an area we intend to explore further to see how we can improve a more balanced distribution across all quartiles.</w:t>
      </w:r>
      <w:bookmarkEnd w:id="219"/>
    </w:p>
    <w:p w14:paraId="2F3D9375" w14:textId="05D666DD" w:rsidR="006B569A" w:rsidRDefault="006B569A" w:rsidP="006B569A">
      <w:pPr>
        <w:pStyle w:val="Heading3"/>
        <w:rPr>
          <w:rFonts w:ascii="Calibri Light" w:eastAsia="Calibri Light" w:hAnsi="Calibri Light" w:cs="Calibri Light"/>
          <w:color w:val="1F4D78"/>
        </w:rPr>
      </w:pPr>
      <w:bookmarkStart w:id="220" w:name="_Hlk132388785"/>
      <w:r>
        <w:rPr>
          <w:rFonts w:ascii="Calibri Light" w:eastAsia="Calibri Light" w:hAnsi="Calibri Light" w:cs="Calibri Light"/>
          <w:b/>
          <w:bCs/>
          <w:color w:val="1F4D78"/>
        </w:rPr>
        <w:t>Bonus Gender Pay Gap</w:t>
      </w:r>
    </w:p>
    <w:p w14:paraId="2B51E834" w14:textId="1F9D8C79" w:rsidR="006B569A" w:rsidRPr="0070439E" w:rsidRDefault="00532302" w:rsidP="006B569A">
      <w:pPr>
        <w:rPr>
          <w:rFonts w:ascii="Calibri" w:eastAsia="Calibri" w:hAnsi="Calibri" w:cs="Calibri"/>
          <w:color w:val="000000" w:themeColor="text1"/>
        </w:rPr>
      </w:pPr>
      <w:r w:rsidRPr="0070439E">
        <w:rPr>
          <w:rFonts w:ascii="Calibri" w:eastAsia="Calibri" w:hAnsi="Calibri" w:cs="Calibri"/>
          <w:color w:val="000000" w:themeColor="text1"/>
        </w:rPr>
        <w:t>T</w:t>
      </w:r>
      <w:r w:rsidR="006B569A" w:rsidRPr="0070439E">
        <w:rPr>
          <w:rFonts w:ascii="Calibri" w:eastAsia="Calibri" w:hAnsi="Calibri" w:cs="Calibri"/>
          <w:color w:val="000000" w:themeColor="text1"/>
        </w:rPr>
        <w:t>able</w:t>
      </w:r>
      <w:r w:rsidR="006B569A" w:rsidRPr="0070439E">
        <w:rPr>
          <w:rFonts w:ascii="Calibri" w:eastAsia="Calibri" w:hAnsi="Calibri" w:cs="Calibri"/>
          <w:b/>
          <w:bCs/>
          <w:color w:val="000000" w:themeColor="text1"/>
        </w:rPr>
        <w:t xml:space="preserve">: </w:t>
      </w:r>
      <w:r w:rsidR="006B569A" w:rsidRPr="0070439E">
        <w:rPr>
          <w:rFonts w:ascii="Calibri" w:eastAsia="Calibri" w:hAnsi="Calibri" w:cs="Calibri"/>
          <w:color w:val="000000" w:themeColor="text1"/>
        </w:rPr>
        <w:t>Bonus gender pay gaps in 2022 and change since 2021</w:t>
      </w:r>
    </w:p>
    <w:tbl>
      <w:tblPr>
        <w:tblStyle w:val="TableGrid"/>
        <w:tblW w:w="9016" w:type="dxa"/>
        <w:tblLayout w:type="fixed"/>
        <w:tblLook w:val="04A0" w:firstRow="1" w:lastRow="0" w:firstColumn="1" w:lastColumn="0" w:noHBand="0" w:noVBand="1"/>
      </w:tblPr>
      <w:tblGrid>
        <w:gridCol w:w="1555"/>
        <w:gridCol w:w="992"/>
        <w:gridCol w:w="802"/>
        <w:gridCol w:w="944"/>
        <w:gridCol w:w="945"/>
        <w:gridCol w:w="944"/>
        <w:gridCol w:w="945"/>
        <w:gridCol w:w="944"/>
        <w:gridCol w:w="945"/>
      </w:tblGrid>
      <w:tr w:rsidR="00E916FA" w:rsidRPr="009C3274" w14:paraId="08833B2B" w14:textId="6CD2C91C" w:rsidTr="00E916FA">
        <w:trPr>
          <w:trHeight w:val="292"/>
        </w:trPr>
        <w:tc>
          <w:tcPr>
            <w:tcW w:w="1555" w:type="dxa"/>
            <w:noWrap/>
            <w:hideMark/>
          </w:tcPr>
          <w:p w14:paraId="2489EC9F" w14:textId="77777777" w:rsidR="00E916FA" w:rsidRPr="009C3274" w:rsidRDefault="00E916FA" w:rsidP="00B57560">
            <w:pPr>
              <w:rPr>
                <w:rFonts w:ascii="Calibri" w:eastAsia="Times New Roman" w:hAnsi="Calibri" w:cs="Calibri"/>
                <w:b/>
                <w:bCs/>
                <w:color w:val="000000"/>
                <w:lang w:eastAsia="en-GB"/>
              </w:rPr>
            </w:pPr>
            <w:r>
              <w:rPr>
                <w:rFonts w:ascii="Calibri" w:eastAsia="Times New Roman" w:hAnsi="Calibri" w:cs="Calibri"/>
                <w:b/>
                <w:bCs/>
                <w:color w:val="000000"/>
                <w:lang w:eastAsia="en-GB"/>
              </w:rPr>
              <w:lastRenderedPageBreak/>
              <w:t>Pay bands</w:t>
            </w:r>
          </w:p>
        </w:tc>
        <w:tc>
          <w:tcPr>
            <w:tcW w:w="992" w:type="dxa"/>
          </w:tcPr>
          <w:p w14:paraId="5A4755D2" w14:textId="77777777" w:rsidR="00E916FA" w:rsidRPr="009C3274" w:rsidRDefault="00E916FA" w:rsidP="00B57560">
            <w:pPr>
              <w:jc w:val="center"/>
              <w:rPr>
                <w:rFonts w:ascii="Calibri" w:eastAsia="Times New Roman" w:hAnsi="Calibri" w:cs="Calibri"/>
                <w:b/>
                <w:bCs/>
                <w:color w:val="000000"/>
                <w:lang w:eastAsia="en-GB"/>
              </w:rPr>
            </w:pPr>
          </w:p>
        </w:tc>
        <w:tc>
          <w:tcPr>
            <w:tcW w:w="802" w:type="dxa"/>
            <w:noWrap/>
          </w:tcPr>
          <w:p w14:paraId="7DB42CC1" w14:textId="263E0352" w:rsidR="00E916FA" w:rsidRPr="009C3274" w:rsidRDefault="00E916FA" w:rsidP="00B57560">
            <w:pPr>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No</w:t>
            </w:r>
          </w:p>
        </w:tc>
        <w:tc>
          <w:tcPr>
            <w:tcW w:w="944" w:type="dxa"/>
          </w:tcPr>
          <w:p w14:paraId="0425F5A8" w14:textId="05867527" w:rsidR="00E916FA" w:rsidRPr="009C3274" w:rsidRDefault="00E916FA" w:rsidP="00B57560">
            <w:pPr>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Mean bonus £</w:t>
            </w:r>
          </w:p>
        </w:tc>
        <w:tc>
          <w:tcPr>
            <w:tcW w:w="945" w:type="dxa"/>
            <w:noWrap/>
          </w:tcPr>
          <w:p w14:paraId="3F4DE627" w14:textId="5EF6FAAB" w:rsidR="00E916FA" w:rsidRPr="009C3274" w:rsidRDefault="00E916FA" w:rsidP="00B57560">
            <w:pPr>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Mean gender pay gap</w:t>
            </w:r>
          </w:p>
        </w:tc>
        <w:tc>
          <w:tcPr>
            <w:tcW w:w="944" w:type="dxa"/>
          </w:tcPr>
          <w:p w14:paraId="2A8341E2" w14:textId="77777777" w:rsidR="00E916FA" w:rsidRPr="009C3274" w:rsidRDefault="00E916FA" w:rsidP="00B57560">
            <w:pPr>
              <w:jc w:val="center"/>
              <w:rPr>
                <w:rFonts w:ascii="Calibri" w:eastAsia="Times New Roman" w:hAnsi="Calibri" w:cs="Calibri"/>
                <w:b/>
                <w:bCs/>
                <w:color w:val="000000"/>
                <w:lang w:eastAsia="en-GB"/>
              </w:rPr>
            </w:pPr>
            <w:r w:rsidRPr="00532302">
              <w:rPr>
                <w:rFonts w:ascii="Calibri" w:eastAsia="Calibri" w:hAnsi="Calibri" w:cs="Calibri"/>
                <w:b/>
                <w:bCs/>
                <w:color w:val="000000" w:themeColor="text1"/>
              </w:rPr>
              <w:t>Change %</w:t>
            </w:r>
          </w:p>
        </w:tc>
        <w:tc>
          <w:tcPr>
            <w:tcW w:w="945" w:type="dxa"/>
          </w:tcPr>
          <w:p w14:paraId="00BA8EF9" w14:textId="128AFE93" w:rsidR="00E916FA" w:rsidRPr="00532302" w:rsidRDefault="00E916FA" w:rsidP="00B57560">
            <w:pPr>
              <w:jc w:val="center"/>
              <w:rPr>
                <w:rFonts w:ascii="Calibri" w:eastAsia="Calibri" w:hAnsi="Calibri" w:cs="Calibri"/>
                <w:b/>
                <w:bCs/>
                <w:color w:val="000000" w:themeColor="text1"/>
              </w:rPr>
            </w:pPr>
            <w:r>
              <w:rPr>
                <w:rFonts w:ascii="Calibri" w:eastAsia="Calibri" w:hAnsi="Calibri" w:cs="Calibri"/>
                <w:b/>
                <w:bCs/>
                <w:color w:val="000000" w:themeColor="text1"/>
              </w:rPr>
              <w:t>Median bonus £</w:t>
            </w:r>
          </w:p>
        </w:tc>
        <w:tc>
          <w:tcPr>
            <w:tcW w:w="944" w:type="dxa"/>
          </w:tcPr>
          <w:p w14:paraId="57B59D43" w14:textId="7368E103" w:rsidR="00E916FA" w:rsidRPr="00532302" w:rsidRDefault="00E916FA" w:rsidP="00B57560">
            <w:pPr>
              <w:jc w:val="center"/>
              <w:rPr>
                <w:rFonts w:ascii="Calibri" w:eastAsia="Calibri" w:hAnsi="Calibri" w:cs="Calibri"/>
                <w:b/>
                <w:bCs/>
                <w:color w:val="000000" w:themeColor="text1"/>
              </w:rPr>
            </w:pPr>
            <w:r>
              <w:rPr>
                <w:rFonts w:ascii="Calibri" w:eastAsia="Calibri" w:hAnsi="Calibri" w:cs="Calibri"/>
                <w:b/>
                <w:bCs/>
                <w:color w:val="000000" w:themeColor="text1"/>
              </w:rPr>
              <w:t>Median gender pay gap</w:t>
            </w:r>
          </w:p>
        </w:tc>
        <w:tc>
          <w:tcPr>
            <w:tcW w:w="945" w:type="dxa"/>
          </w:tcPr>
          <w:p w14:paraId="6D7A3340" w14:textId="54DC4919" w:rsidR="00E916FA" w:rsidRPr="00532302" w:rsidRDefault="00E916FA" w:rsidP="00B57560">
            <w:pPr>
              <w:jc w:val="center"/>
              <w:rPr>
                <w:rFonts w:ascii="Calibri" w:eastAsia="Calibri" w:hAnsi="Calibri" w:cs="Calibri"/>
                <w:b/>
                <w:bCs/>
                <w:color w:val="000000" w:themeColor="text1"/>
              </w:rPr>
            </w:pPr>
            <w:r w:rsidRPr="00532302">
              <w:rPr>
                <w:rFonts w:ascii="Calibri" w:eastAsia="Calibri" w:hAnsi="Calibri" w:cs="Calibri"/>
                <w:b/>
                <w:bCs/>
                <w:color w:val="000000" w:themeColor="text1"/>
              </w:rPr>
              <w:t>Change %</w:t>
            </w:r>
          </w:p>
        </w:tc>
      </w:tr>
      <w:tr w:rsidR="00E916FA" w:rsidRPr="00532302" w14:paraId="36A29085" w14:textId="040D16AA" w:rsidTr="00E916FA">
        <w:trPr>
          <w:trHeight w:val="292"/>
        </w:trPr>
        <w:tc>
          <w:tcPr>
            <w:tcW w:w="1555" w:type="dxa"/>
            <w:noWrap/>
            <w:hideMark/>
          </w:tcPr>
          <w:p w14:paraId="2D819FB6" w14:textId="058849A1" w:rsidR="00E916FA" w:rsidRPr="00532302" w:rsidRDefault="00E916FA" w:rsidP="00B57560">
            <w:pPr>
              <w:rPr>
                <w:rFonts w:ascii="Calibri" w:eastAsia="Times New Roman" w:hAnsi="Calibri" w:cs="Calibri"/>
                <w:color w:val="000000"/>
                <w:lang w:eastAsia="en-GB"/>
              </w:rPr>
            </w:pPr>
            <w:r>
              <w:rPr>
                <w:rFonts w:ascii="Calibri" w:eastAsia="Times New Roman" w:hAnsi="Calibri" w:cs="Calibri"/>
                <w:color w:val="000000"/>
                <w:lang w:eastAsia="en-GB"/>
              </w:rPr>
              <w:t>All bonuses</w:t>
            </w:r>
          </w:p>
        </w:tc>
        <w:tc>
          <w:tcPr>
            <w:tcW w:w="992" w:type="dxa"/>
          </w:tcPr>
          <w:p w14:paraId="60D8E0B5" w14:textId="20BEBCDE" w:rsidR="00E916FA" w:rsidRPr="00532302" w:rsidRDefault="00E916FA" w:rsidP="00E916FA">
            <w:pPr>
              <w:rPr>
                <w:rFonts w:ascii="Calibri" w:hAnsi="Calibri" w:cs="Calibri"/>
                <w:color w:val="000000"/>
              </w:rPr>
            </w:pPr>
            <w:r>
              <w:rPr>
                <w:rFonts w:ascii="Calibri" w:hAnsi="Calibri" w:cs="Calibri"/>
                <w:color w:val="000000"/>
              </w:rPr>
              <w:t>Male</w:t>
            </w:r>
          </w:p>
        </w:tc>
        <w:tc>
          <w:tcPr>
            <w:tcW w:w="802" w:type="dxa"/>
            <w:noWrap/>
          </w:tcPr>
          <w:p w14:paraId="7B31668D" w14:textId="0A366164" w:rsidR="00E916FA" w:rsidRPr="00532302" w:rsidRDefault="00E916FA" w:rsidP="00B57560">
            <w:pPr>
              <w:jc w:val="center"/>
              <w:rPr>
                <w:rFonts w:ascii="Calibri" w:hAnsi="Calibri" w:cs="Calibri"/>
                <w:color w:val="000000"/>
              </w:rPr>
            </w:pPr>
            <w:r>
              <w:rPr>
                <w:rFonts w:ascii="Calibri" w:hAnsi="Calibri" w:cs="Calibri"/>
                <w:color w:val="000000"/>
              </w:rPr>
              <w:t>413</w:t>
            </w:r>
          </w:p>
        </w:tc>
        <w:tc>
          <w:tcPr>
            <w:tcW w:w="944" w:type="dxa"/>
          </w:tcPr>
          <w:p w14:paraId="31383785" w14:textId="010FA491" w:rsidR="00E916FA" w:rsidRPr="00532302" w:rsidRDefault="00E916FA" w:rsidP="00B57560">
            <w:pPr>
              <w:jc w:val="center"/>
              <w:rPr>
                <w:rFonts w:ascii="Calibri" w:eastAsia="Times New Roman" w:hAnsi="Calibri" w:cs="Calibri"/>
                <w:color w:val="000000"/>
                <w:lang w:eastAsia="en-GB"/>
              </w:rPr>
            </w:pPr>
            <w:r>
              <w:rPr>
                <w:rFonts w:ascii="Calibri" w:eastAsia="Times New Roman" w:hAnsi="Calibri" w:cs="Calibri"/>
                <w:color w:val="000000"/>
                <w:lang w:eastAsia="en-GB"/>
              </w:rPr>
              <w:t>3,894</w:t>
            </w:r>
          </w:p>
        </w:tc>
        <w:tc>
          <w:tcPr>
            <w:tcW w:w="945" w:type="dxa"/>
            <w:noWrap/>
          </w:tcPr>
          <w:p w14:paraId="54B6AC60" w14:textId="5C5C67B9" w:rsidR="00E916FA" w:rsidRPr="00532302" w:rsidRDefault="00E916FA" w:rsidP="00B57560">
            <w:pPr>
              <w:jc w:val="center"/>
              <w:rPr>
                <w:rFonts w:ascii="Calibri" w:eastAsia="Times New Roman" w:hAnsi="Calibri" w:cs="Calibri"/>
                <w:color w:val="000000"/>
                <w:lang w:eastAsia="en-GB"/>
              </w:rPr>
            </w:pPr>
            <w:r>
              <w:rPr>
                <w:rFonts w:ascii="Calibri" w:eastAsia="Times New Roman" w:hAnsi="Calibri" w:cs="Calibri"/>
                <w:color w:val="000000"/>
                <w:lang w:eastAsia="en-GB"/>
              </w:rPr>
              <w:t>51.5</w:t>
            </w:r>
          </w:p>
        </w:tc>
        <w:tc>
          <w:tcPr>
            <w:tcW w:w="944" w:type="dxa"/>
          </w:tcPr>
          <w:p w14:paraId="7EFFCE84" w14:textId="2750C0BF" w:rsidR="00E916FA" w:rsidRPr="00532302" w:rsidRDefault="00E916FA" w:rsidP="00B57560">
            <w:pPr>
              <w:jc w:val="center"/>
              <w:rPr>
                <w:rFonts w:ascii="Calibri" w:eastAsia="Times New Roman" w:hAnsi="Calibri" w:cs="Calibri"/>
                <w:color w:val="000000"/>
                <w:lang w:eastAsia="en-GB"/>
              </w:rPr>
            </w:pPr>
            <w:r>
              <w:rPr>
                <w:rFonts w:ascii="Calibri" w:eastAsia="Times New Roman" w:hAnsi="Calibri" w:cs="Calibri"/>
                <w:color w:val="000000"/>
                <w:lang w:eastAsia="en-GB"/>
              </w:rPr>
              <w:t>-25.00</w:t>
            </w:r>
          </w:p>
        </w:tc>
        <w:tc>
          <w:tcPr>
            <w:tcW w:w="945" w:type="dxa"/>
          </w:tcPr>
          <w:p w14:paraId="29EEE28C" w14:textId="32B7C1E5" w:rsidR="00E916FA" w:rsidRDefault="00E916FA" w:rsidP="00B57560">
            <w:pPr>
              <w:jc w:val="center"/>
              <w:rPr>
                <w:rFonts w:ascii="Calibri" w:eastAsia="Times New Roman" w:hAnsi="Calibri" w:cs="Calibri"/>
                <w:color w:val="000000"/>
                <w:lang w:eastAsia="en-GB"/>
              </w:rPr>
            </w:pPr>
            <w:r>
              <w:rPr>
                <w:rFonts w:ascii="Calibri" w:eastAsia="Times New Roman" w:hAnsi="Calibri" w:cs="Calibri"/>
                <w:color w:val="000000"/>
                <w:lang w:eastAsia="en-GB"/>
              </w:rPr>
              <w:t>405</w:t>
            </w:r>
          </w:p>
        </w:tc>
        <w:tc>
          <w:tcPr>
            <w:tcW w:w="944" w:type="dxa"/>
          </w:tcPr>
          <w:p w14:paraId="71D1406F" w14:textId="737A827C" w:rsidR="00E916FA" w:rsidRDefault="00E916FA" w:rsidP="00B57560">
            <w:pPr>
              <w:jc w:val="center"/>
              <w:rPr>
                <w:rFonts w:ascii="Calibri" w:eastAsia="Times New Roman" w:hAnsi="Calibri" w:cs="Calibri"/>
                <w:color w:val="000000"/>
                <w:lang w:eastAsia="en-GB"/>
              </w:rPr>
            </w:pPr>
            <w:r>
              <w:rPr>
                <w:rFonts w:ascii="Calibri" w:eastAsia="Times New Roman" w:hAnsi="Calibri" w:cs="Calibri"/>
                <w:color w:val="000000"/>
                <w:lang w:eastAsia="en-GB"/>
              </w:rPr>
              <w:t>-122.2</w:t>
            </w:r>
          </w:p>
        </w:tc>
        <w:tc>
          <w:tcPr>
            <w:tcW w:w="945" w:type="dxa"/>
          </w:tcPr>
          <w:p w14:paraId="052B2757" w14:textId="3F070DB6" w:rsidR="00E916FA" w:rsidRDefault="00E916FA" w:rsidP="00B57560">
            <w:pPr>
              <w:jc w:val="center"/>
              <w:rPr>
                <w:rFonts w:ascii="Calibri" w:eastAsia="Times New Roman" w:hAnsi="Calibri" w:cs="Calibri"/>
                <w:color w:val="000000"/>
                <w:lang w:eastAsia="en-GB"/>
              </w:rPr>
            </w:pPr>
            <w:r>
              <w:rPr>
                <w:rFonts w:ascii="Calibri" w:eastAsia="Times New Roman" w:hAnsi="Calibri" w:cs="Calibri"/>
                <w:color w:val="000000"/>
                <w:lang w:eastAsia="en-GB"/>
              </w:rPr>
              <w:t>204.5</w:t>
            </w:r>
          </w:p>
        </w:tc>
      </w:tr>
      <w:tr w:rsidR="00E916FA" w:rsidRPr="00532302" w14:paraId="1E054ED7" w14:textId="6390F531" w:rsidTr="00E916FA">
        <w:trPr>
          <w:trHeight w:val="292"/>
        </w:trPr>
        <w:tc>
          <w:tcPr>
            <w:tcW w:w="1555" w:type="dxa"/>
            <w:noWrap/>
          </w:tcPr>
          <w:p w14:paraId="158F0DD1" w14:textId="77777777" w:rsidR="00E916FA" w:rsidRPr="00532302" w:rsidRDefault="00E916FA" w:rsidP="00B57560">
            <w:pPr>
              <w:rPr>
                <w:rFonts w:ascii="Calibri" w:eastAsia="Times New Roman" w:hAnsi="Calibri" w:cs="Calibri"/>
                <w:color w:val="000000"/>
                <w:lang w:eastAsia="en-GB"/>
              </w:rPr>
            </w:pPr>
          </w:p>
        </w:tc>
        <w:tc>
          <w:tcPr>
            <w:tcW w:w="992" w:type="dxa"/>
          </w:tcPr>
          <w:p w14:paraId="2C11DA0D" w14:textId="528291C9" w:rsidR="00E916FA" w:rsidRPr="00532302" w:rsidRDefault="00E916FA" w:rsidP="00E916FA">
            <w:pPr>
              <w:rPr>
                <w:rFonts w:ascii="Calibri" w:hAnsi="Calibri" w:cs="Calibri"/>
                <w:color w:val="000000"/>
              </w:rPr>
            </w:pPr>
            <w:r>
              <w:rPr>
                <w:rFonts w:ascii="Calibri" w:hAnsi="Calibri" w:cs="Calibri"/>
                <w:color w:val="000000"/>
              </w:rPr>
              <w:t>Female</w:t>
            </w:r>
          </w:p>
        </w:tc>
        <w:tc>
          <w:tcPr>
            <w:tcW w:w="802" w:type="dxa"/>
            <w:noWrap/>
          </w:tcPr>
          <w:p w14:paraId="43E6F75E" w14:textId="189CDFB1" w:rsidR="00E916FA" w:rsidRPr="00532302" w:rsidRDefault="00E916FA" w:rsidP="00B57560">
            <w:pPr>
              <w:jc w:val="center"/>
              <w:rPr>
                <w:rFonts w:ascii="Calibri" w:hAnsi="Calibri" w:cs="Calibri"/>
                <w:color w:val="000000"/>
              </w:rPr>
            </w:pPr>
            <w:r>
              <w:rPr>
                <w:rFonts w:ascii="Calibri" w:hAnsi="Calibri" w:cs="Calibri"/>
                <w:color w:val="000000"/>
              </w:rPr>
              <w:t>375</w:t>
            </w:r>
          </w:p>
        </w:tc>
        <w:tc>
          <w:tcPr>
            <w:tcW w:w="944" w:type="dxa"/>
          </w:tcPr>
          <w:p w14:paraId="0EACB867" w14:textId="4A1CEEA3" w:rsidR="00E916FA" w:rsidRPr="00532302" w:rsidRDefault="00E916FA" w:rsidP="00B57560">
            <w:pPr>
              <w:jc w:val="center"/>
              <w:rPr>
                <w:rFonts w:ascii="Calibri" w:eastAsia="Times New Roman" w:hAnsi="Calibri" w:cs="Calibri"/>
                <w:color w:val="000000"/>
                <w:lang w:eastAsia="en-GB"/>
              </w:rPr>
            </w:pPr>
            <w:r>
              <w:rPr>
                <w:rFonts w:ascii="Calibri" w:eastAsia="Times New Roman" w:hAnsi="Calibri" w:cs="Calibri"/>
                <w:color w:val="000000"/>
                <w:lang w:eastAsia="en-GB"/>
              </w:rPr>
              <w:t>1,890</w:t>
            </w:r>
          </w:p>
        </w:tc>
        <w:tc>
          <w:tcPr>
            <w:tcW w:w="945" w:type="dxa"/>
            <w:noWrap/>
          </w:tcPr>
          <w:p w14:paraId="132B0670" w14:textId="533DBEF5" w:rsidR="00E916FA" w:rsidRPr="00532302" w:rsidRDefault="00E916FA" w:rsidP="00B57560">
            <w:pPr>
              <w:jc w:val="center"/>
              <w:rPr>
                <w:rFonts w:ascii="Calibri" w:eastAsia="Times New Roman" w:hAnsi="Calibri" w:cs="Calibri"/>
                <w:color w:val="000000"/>
                <w:lang w:eastAsia="en-GB"/>
              </w:rPr>
            </w:pPr>
          </w:p>
        </w:tc>
        <w:tc>
          <w:tcPr>
            <w:tcW w:w="944" w:type="dxa"/>
          </w:tcPr>
          <w:p w14:paraId="74A2A0F2" w14:textId="77777777" w:rsidR="00E916FA" w:rsidRPr="00532302" w:rsidRDefault="00E916FA" w:rsidP="00B57560">
            <w:pPr>
              <w:jc w:val="center"/>
              <w:rPr>
                <w:rFonts w:ascii="Calibri" w:eastAsia="Times New Roman" w:hAnsi="Calibri" w:cs="Calibri"/>
                <w:color w:val="000000"/>
                <w:lang w:eastAsia="en-GB"/>
              </w:rPr>
            </w:pPr>
          </w:p>
        </w:tc>
        <w:tc>
          <w:tcPr>
            <w:tcW w:w="945" w:type="dxa"/>
          </w:tcPr>
          <w:p w14:paraId="62AAF243" w14:textId="0A59149D" w:rsidR="00E916FA" w:rsidRPr="00532302" w:rsidRDefault="00E916FA" w:rsidP="00B57560">
            <w:pPr>
              <w:jc w:val="center"/>
              <w:rPr>
                <w:rFonts w:ascii="Calibri" w:eastAsia="Times New Roman" w:hAnsi="Calibri" w:cs="Calibri"/>
                <w:color w:val="000000"/>
                <w:lang w:eastAsia="en-GB"/>
              </w:rPr>
            </w:pPr>
            <w:r>
              <w:rPr>
                <w:rFonts w:ascii="Calibri" w:eastAsia="Times New Roman" w:hAnsi="Calibri" w:cs="Calibri"/>
                <w:color w:val="000000"/>
                <w:lang w:eastAsia="en-GB"/>
              </w:rPr>
              <w:t>900</w:t>
            </w:r>
          </w:p>
        </w:tc>
        <w:tc>
          <w:tcPr>
            <w:tcW w:w="944" w:type="dxa"/>
          </w:tcPr>
          <w:p w14:paraId="7476670C" w14:textId="4C75EA51" w:rsidR="00E916FA" w:rsidRPr="00532302" w:rsidRDefault="00E916FA" w:rsidP="00B57560">
            <w:pPr>
              <w:jc w:val="center"/>
              <w:rPr>
                <w:rFonts w:ascii="Calibri" w:eastAsia="Times New Roman" w:hAnsi="Calibri" w:cs="Calibri"/>
                <w:color w:val="000000"/>
                <w:lang w:eastAsia="en-GB"/>
              </w:rPr>
            </w:pPr>
          </w:p>
        </w:tc>
        <w:tc>
          <w:tcPr>
            <w:tcW w:w="945" w:type="dxa"/>
          </w:tcPr>
          <w:p w14:paraId="4B1B48AB" w14:textId="03A1E261" w:rsidR="00E916FA" w:rsidRPr="00532302" w:rsidRDefault="00E916FA" w:rsidP="00B57560">
            <w:pPr>
              <w:jc w:val="center"/>
              <w:rPr>
                <w:rFonts w:ascii="Calibri" w:eastAsia="Times New Roman" w:hAnsi="Calibri" w:cs="Calibri"/>
                <w:color w:val="000000"/>
                <w:lang w:eastAsia="en-GB"/>
              </w:rPr>
            </w:pPr>
          </w:p>
        </w:tc>
      </w:tr>
      <w:tr w:rsidR="00E916FA" w:rsidRPr="00532302" w14:paraId="0CF79003" w14:textId="70BFA93A" w:rsidTr="00E916FA">
        <w:trPr>
          <w:trHeight w:val="292"/>
        </w:trPr>
        <w:tc>
          <w:tcPr>
            <w:tcW w:w="1555" w:type="dxa"/>
            <w:noWrap/>
            <w:hideMark/>
          </w:tcPr>
          <w:p w14:paraId="4CAE4960" w14:textId="594FD4A9" w:rsidR="00E916FA" w:rsidRPr="00532302" w:rsidRDefault="00E916FA" w:rsidP="00E916FA">
            <w:pPr>
              <w:rPr>
                <w:rFonts w:ascii="Calibri" w:eastAsia="Times New Roman" w:hAnsi="Calibri" w:cs="Calibri"/>
                <w:color w:val="000000"/>
                <w:lang w:eastAsia="en-GB"/>
              </w:rPr>
            </w:pPr>
            <w:r>
              <w:rPr>
                <w:rFonts w:ascii="Calibri" w:eastAsia="Times New Roman" w:hAnsi="Calibri" w:cs="Calibri"/>
                <w:color w:val="000000"/>
                <w:lang w:eastAsia="en-GB"/>
              </w:rPr>
              <w:t>Excluding CEAs</w:t>
            </w:r>
          </w:p>
        </w:tc>
        <w:tc>
          <w:tcPr>
            <w:tcW w:w="992" w:type="dxa"/>
          </w:tcPr>
          <w:p w14:paraId="5541B55A" w14:textId="10EAE366" w:rsidR="00E916FA" w:rsidRPr="00532302" w:rsidRDefault="00E916FA" w:rsidP="00E916FA">
            <w:pPr>
              <w:rPr>
                <w:rFonts w:ascii="Calibri" w:eastAsia="Times New Roman" w:hAnsi="Calibri" w:cs="Calibri"/>
                <w:color w:val="000000"/>
                <w:lang w:eastAsia="en-GB"/>
              </w:rPr>
            </w:pPr>
            <w:r>
              <w:rPr>
                <w:rFonts w:ascii="Calibri" w:hAnsi="Calibri" w:cs="Calibri"/>
                <w:color w:val="000000"/>
              </w:rPr>
              <w:t>Male</w:t>
            </w:r>
          </w:p>
        </w:tc>
        <w:tc>
          <w:tcPr>
            <w:tcW w:w="802" w:type="dxa"/>
            <w:noWrap/>
          </w:tcPr>
          <w:p w14:paraId="54D7107D" w14:textId="117EE38A" w:rsidR="00E916FA" w:rsidRPr="00532302" w:rsidRDefault="00E916FA" w:rsidP="00E916FA">
            <w:pPr>
              <w:jc w:val="center"/>
              <w:rPr>
                <w:rFonts w:ascii="Calibri" w:eastAsia="Times New Roman" w:hAnsi="Calibri" w:cs="Calibri"/>
                <w:color w:val="000000"/>
                <w:lang w:eastAsia="en-GB"/>
              </w:rPr>
            </w:pPr>
            <w:r>
              <w:rPr>
                <w:rFonts w:ascii="Calibri" w:eastAsia="Times New Roman" w:hAnsi="Calibri" w:cs="Calibri"/>
                <w:color w:val="000000"/>
                <w:lang w:eastAsia="en-GB"/>
              </w:rPr>
              <w:t>369</w:t>
            </w:r>
          </w:p>
        </w:tc>
        <w:tc>
          <w:tcPr>
            <w:tcW w:w="944" w:type="dxa"/>
          </w:tcPr>
          <w:p w14:paraId="59A08099" w14:textId="0F6B7CB1" w:rsidR="00E916FA" w:rsidRPr="00532302" w:rsidRDefault="00E916FA" w:rsidP="00E916FA">
            <w:pPr>
              <w:jc w:val="center"/>
              <w:rPr>
                <w:rFonts w:ascii="Calibri" w:eastAsia="Times New Roman" w:hAnsi="Calibri" w:cs="Calibri"/>
                <w:color w:val="000000"/>
                <w:lang w:eastAsia="en-GB"/>
              </w:rPr>
            </w:pPr>
            <w:r>
              <w:rPr>
                <w:rFonts w:ascii="Calibri" w:eastAsia="Times New Roman" w:hAnsi="Calibri" w:cs="Calibri"/>
                <w:color w:val="000000"/>
                <w:lang w:eastAsia="en-GB"/>
              </w:rPr>
              <w:t>713</w:t>
            </w:r>
          </w:p>
        </w:tc>
        <w:tc>
          <w:tcPr>
            <w:tcW w:w="945" w:type="dxa"/>
            <w:noWrap/>
          </w:tcPr>
          <w:p w14:paraId="7D724AB7" w14:textId="02D39E0A" w:rsidR="00E916FA" w:rsidRPr="00532302" w:rsidRDefault="00E916FA" w:rsidP="00E916FA">
            <w:pPr>
              <w:jc w:val="center"/>
              <w:rPr>
                <w:rFonts w:ascii="Calibri" w:eastAsia="Times New Roman" w:hAnsi="Calibri" w:cs="Calibri"/>
                <w:color w:val="000000"/>
                <w:lang w:eastAsia="en-GB"/>
              </w:rPr>
            </w:pPr>
            <w:r>
              <w:rPr>
                <w:rFonts w:ascii="Calibri" w:eastAsia="Times New Roman" w:hAnsi="Calibri" w:cs="Calibri"/>
                <w:color w:val="000000"/>
                <w:lang w:eastAsia="en-GB"/>
              </w:rPr>
              <w:t>-38.7</w:t>
            </w:r>
          </w:p>
        </w:tc>
        <w:tc>
          <w:tcPr>
            <w:tcW w:w="944" w:type="dxa"/>
          </w:tcPr>
          <w:p w14:paraId="24A94638" w14:textId="61E329F9" w:rsidR="00E916FA" w:rsidRPr="00532302" w:rsidRDefault="00E916FA" w:rsidP="00E916FA">
            <w:pPr>
              <w:jc w:val="center"/>
              <w:rPr>
                <w:rFonts w:ascii="Calibri" w:eastAsia="Times New Roman" w:hAnsi="Calibri" w:cs="Calibri"/>
                <w:color w:val="000000"/>
                <w:lang w:eastAsia="en-GB"/>
              </w:rPr>
            </w:pPr>
          </w:p>
        </w:tc>
        <w:tc>
          <w:tcPr>
            <w:tcW w:w="945" w:type="dxa"/>
          </w:tcPr>
          <w:p w14:paraId="178DF94D" w14:textId="3F5EA6BA" w:rsidR="00E916FA" w:rsidRDefault="00E916FA" w:rsidP="00E916FA">
            <w:pPr>
              <w:jc w:val="center"/>
              <w:rPr>
                <w:rFonts w:ascii="Calibri" w:eastAsia="Times New Roman" w:hAnsi="Calibri" w:cs="Calibri"/>
                <w:color w:val="000000"/>
                <w:lang w:eastAsia="en-GB"/>
              </w:rPr>
            </w:pPr>
            <w:r>
              <w:rPr>
                <w:rFonts w:ascii="Calibri" w:eastAsia="Times New Roman" w:hAnsi="Calibri" w:cs="Calibri"/>
                <w:color w:val="000000"/>
                <w:lang w:eastAsia="en-GB"/>
              </w:rPr>
              <w:t>100</w:t>
            </w:r>
          </w:p>
        </w:tc>
        <w:tc>
          <w:tcPr>
            <w:tcW w:w="944" w:type="dxa"/>
          </w:tcPr>
          <w:p w14:paraId="5242E9B9" w14:textId="4DE8EA67" w:rsidR="00E916FA" w:rsidRDefault="00E916FA" w:rsidP="00E916FA">
            <w:pPr>
              <w:jc w:val="center"/>
              <w:rPr>
                <w:rFonts w:ascii="Calibri" w:eastAsia="Times New Roman" w:hAnsi="Calibri" w:cs="Calibri"/>
                <w:color w:val="000000"/>
                <w:lang w:eastAsia="en-GB"/>
              </w:rPr>
            </w:pPr>
            <w:r>
              <w:rPr>
                <w:rFonts w:ascii="Calibri" w:eastAsia="Times New Roman" w:hAnsi="Calibri" w:cs="Calibri"/>
                <w:color w:val="000000"/>
                <w:lang w:eastAsia="en-GB"/>
              </w:rPr>
              <w:t>-750</w:t>
            </w:r>
          </w:p>
        </w:tc>
        <w:tc>
          <w:tcPr>
            <w:tcW w:w="945" w:type="dxa"/>
          </w:tcPr>
          <w:p w14:paraId="03CBFF80" w14:textId="7D5C1FF5" w:rsidR="00E916FA" w:rsidRDefault="00E916FA" w:rsidP="00E916FA">
            <w:pPr>
              <w:jc w:val="center"/>
              <w:rPr>
                <w:rFonts w:ascii="Calibri" w:eastAsia="Times New Roman" w:hAnsi="Calibri" w:cs="Calibri"/>
                <w:color w:val="000000"/>
                <w:lang w:eastAsia="en-GB"/>
              </w:rPr>
            </w:pPr>
          </w:p>
        </w:tc>
      </w:tr>
      <w:tr w:rsidR="00E916FA" w:rsidRPr="00532302" w14:paraId="37DDD32D" w14:textId="4415747E" w:rsidTr="00E916FA">
        <w:trPr>
          <w:trHeight w:val="292"/>
        </w:trPr>
        <w:tc>
          <w:tcPr>
            <w:tcW w:w="1555" w:type="dxa"/>
            <w:noWrap/>
          </w:tcPr>
          <w:p w14:paraId="105C8960" w14:textId="77777777" w:rsidR="00E916FA" w:rsidRPr="00532302" w:rsidRDefault="00E916FA" w:rsidP="00E916FA">
            <w:pPr>
              <w:rPr>
                <w:rFonts w:ascii="Calibri" w:eastAsia="Times New Roman" w:hAnsi="Calibri" w:cs="Calibri"/>
                <w:color w:val="000000"/>
                <w:lang w:eastAsia="en-GB"/>
              </w:rPr>
            </w:pPr>
          </w:p>
        </w:tc>
        <w:tc>
          <w:tcPr>
            <w:tcW w:w="992" w:type="dxa"/>
          </w:tcPr>
          <w:p w14:paraId="490EE9E3" w14:textId="2A2D004A" w:rsidR="00E916FA" w:rsidRPr="00532302" w:rsidRDefault="00E916FA" w:rsidP="00E916FA">
            <w:pPr>
              <w:rPr>
                <w:rFonts w:ascii="Calibri" w:eastAsia="Times New Roman" w:hAnsi="Calibri" w:cs="Calibri"/>
                <w:color w:val="000000"/>
                <w:lang w:eastAsia="en-GB"/>
              </w:rPr>
            </w:pPr>
            <w:r>
              <w:rPr>
                <w:rFonts w:ascii="Calibri" w:hAnsi="Calibri" w:cs="Calibri"/>
                <w:color w:val="000000"/>
              </w:rPr>
              <w:t>Female</w:t>
            </w:r>
          </w:p>
        </w:tc>
        <w:tc>
          <w:tcPr>
            <w:tcW w:w="802" w:type="dxa"/>
            <w:noWrap/>
          </w:tcPr>
          <w:p w14:paraId="5C2F8447" w14:textId="76191DF0" w:rsidR="00E916FA" w:rsidRPr="00532302" w:rsidRDefault="00E916FA" w:rsidP="00E916FA">
            <w:pPr>
              <w:jc w:val="center"/>
              <w:rPr>
                <w:rFonts w:ascii="Calibri" w:eastAsia="Times New Roman" w:hAnsi="Calibri" w:cs="Calibri"/>
                <w:color w:val="000000"/>
                <w:lang w:eastAsia="en-GB"/>
              </w:rPr>
            </w:pPr>
            <w:r>
              <w:rPr>
                <w:rFonts w:ascii="Calibri" w:eastAsia="Times New Roman" w:hAnsi="Calibri" w:cs="Calibri"/>
                <w:color w:val="000000"/>
                <w:lang w:eastAsia="en-GB"/>
              </w:rPr>
              <w:t>363</w:t>
            </w:r>
          </w:p>
        </w:tc>
        <w:tc>
          <w:tcPr>
            <w:tcW w:w="944" w:type="dxa"/>
          </w:tcPr>
          <w:p w14:paraId="25F27754" w14:textId="2B046525" w:rsidR="00E916FA" w:rsidRPr="00532302" w:rsidRDefault="00E916FA" w:rsidP="00E916FA">
            <w:pPr>
              <w:jc w:val="center"/>
              <w:rPr>
                <w:rFonts w:ascii="Calibri" w:eastAsia="Times New Roman" w:hAnsi="Calibri" w:cs="Calibri"/>
                <w:color w:val="000000"/>
                <w:lang w:eastAsia="en-GB"/>
              </w:rPr>
            </w:pPr>
            <w:r>
              <w:rPr>
                <w:rFonts w:ascii="Calibri" w:eastAsia="Times New Roman" w:hAnsi="Calibri" w:cs="Calibri"/>
                <w:color w:val="000000"/>
                <w:lang w:eastAsia="en-GB"/>
              </w:rPr>
              <w:t>988</w:t>
            </w:r>
          </w:p>
        </w:tc>
        <w:tc>
          <w:tcPr>
            <w:tcW w:w="945" w:type="dxa"/>
            <w:noWrap/>
          </w:tcPr>
          <w:p w14:paraId="61D89BB1" w14:textId="13C094F4" w:rsidR="00E916FA" w:rsidRPr="00532302" w:rsidRDefault="00E916FA" w:rsidP="00E916FA">
            <w:pPr>
              <w:jc w:val="center"/>
              <w:rPr>
                <w:rFonts w:ascii="Calibri" w:eastAsia="Times New Roman" w:hAnsi="Calibri" w:cs="Calibri"/>
                <w:color w:val="000000"/>
                <w:lang w:eastAsia="en-GB"/>
              </w:rPr>
            </w:pPr>
          </w:p>
        </w:tc>
        <w:tc>
          <w:tcPr>
            <w:tcW w:w="944" w:type="dxa"/>
          </w:tcPr>
          <w:p w14:paraId="4DD9CEC2" w14:textId="77777777" w:rsidR="00E916FA" w:rsidRPr="00532302" w:rsidRDefault="00E916FA" w:rsidP="00E916FA">
            <w:pPr>
              <w:jc w:val="center"/>
              <w:rPr>
                <w:rFonts w:ascii="Calibri" w:eastAsia="Times New Roman" w:hAnsi="Calibri" w:cs="Calibri"/>
                <w:color w:val="000000"/>
                <w:lang w:eastAsia="en-GB"/>
              </w:rPr>
            </w:pPr>
          </w:p>
        </w:tc>
        <w:tc>
          <w:tcPr>
            <w:tcW w:w="945" w:type="dxa"/>
          </w:tcPr>
          <w:p w14:paraId="257AF298" w14:textId="34B9D442" w:rsidR="00E916FA" w:rsidRPr="00532302" w:rsidRDefault="00E916FA" w:rsidP="00E916FA">
            <w:pPr>
              <w:jc w:val="center"/>
              <w:rPr>
                <w:rFonts w:ascii="Calibri" w:eastAsia="Times New Roman" w:hAnsi="Calibri" w:cs="Calibri"/>
                <w:color w:val="000000"/>
                <w:lang w:eastAsia="en-GB"/>
              </w:rPr>
            </w:pPr>
            <w:r>
              <w:rPr>
                <w:rFonts w:ascii="Calibri" w:eastAsia="Times New Roman" w:hAnsi="Calibri" w:cs="Calibri"/>
                <w:color w:val="000000"/>
                <w:lang w:eastAsia="en-GB"/>
              </w:rPr>
              <w:t>850</w:t>
            </w:r>
          </w:p>
        </w:tc>
        <w:tc>
          <w:tcPr>
            <w:tcW w:w="944" w:type="dxa"/>
          </w:tcPr>
          <w:p w14:paraId="512F0169" w14:textId="3CA1C7CE" w:rsidR="00E916FA" w:rsidRPr="00532302" w:rsidRDefault="00E916FA" w:rsidP="00E916FA">
            <w:pPr>
              <w:jc w:val="center"/>
              <w:rPr>
                <w:rFonts w:ascii="Calibri" w:eastAsia="Times New Roman" w:hAnsi="Calibri" w:cs="Calibri"/>
                <w:color w:val="000000"/>
                <w:lang w:eastAsia="en-GB"/>
              </w:rPr>
            </w:pPr>
          </w:p>
        </w:tc>
        <w:tc>
          <w:tcPr>
            <w:tcW w:w="945" w:type="dxa"/>
          </w:tcPr>
          <w:p w14:paraId="0622D8F3" w14:textId="6C0D3173" w:rsidR="00E916FA" w:rsidRPr="00532302" w:rsidRDefault="00E916FA" w:rsidP="00E916FA">
            <w:pPr>
              <w:jc w:val="center"/>
              <w:rPr>
                <w:rFonts w:ascii="Calibri" w:eastAsia="Times New Roman" w:hAnsi="Calibri" w:cs="Calibri"/>
                <w:color w:val="000000"/>
                <w:lang w:eastAsia="en-GB"/>
              </w:rPr>
            </w:pPr>
          </w:p>
        </w:tc>
      </w:tr>
    </w:tbl>
    <w:p w14:paraId="4BAF113E" w14:textId="77777777" w:rsidR="00E916FA" w:rsidRPr="00532302" w:rsidRDefault="00E916FA" w:rsidP="00E916FA">
      <w:pPr>
        <w:rPr>
          <w:rFonts w:ascii="Calibri" w:eastAsia="Calibri" w:hAnsi="Calibri" w:cs="Calibri"/>
          <w:color w:val="000000" w:themeColor="text1"/>
          <w:highlight w:val="yellow"/>
        </w:rPr>
      </w:pPr>
    </w:p>
    <w:p w14:paraId="100974ED" w14:textId="6F6A9B1C" w:rsidR="006B569A" w:rsidRDefault="006B569A" w:rsidP="006B569A">
      <w:pPr>
        <w:spacing w:after="200" w:line="276" w:lineRule="auto"/>
        <w:rPr>
          <w:rFonts w:ascii="Calibri" w:eastAsia="Calibri" w:hAnsi="Calibri" w:cs="Calibri"/>
          <w:color w:val="000000" w:themeColor="text1"/>
        </w:rPr>
      </w:pPr>
      <w:r w:rsidRPr="006B569A">
        <w:rPr>
          <w:rFonts w:ascii="Calibri" w:eastAsia="Calibri" w:hAnsi="Calibri" w:cs="Calibri"/>
          <w:color w:val="000000" w:themeColor="text1"/>
        </w:rPr>
        <w:t>The median bonus pay gap has gone from 82.3% in favour of males to 122.2% in favour of females. The mean has decreased by 25%. This significant year on year change has occurred due to a much larger number of bonus payments being made to male colleagues of smaller recognition amounts (Spotlight awards); 292 payments of £100 were made, 90 to females and 202 to male colleagues which leads to the median value being heavily in favour of females. In total 75 bonus payments equal to or greater than £5,000 were made, 25 to females and 50 to males, which leads to the mean value being heavily influenced in favour of male colleagues</w:t>
      </w:r>
      <w:bookmarkEnd w:id="220"/>
      <w:r w:rsidRPr="00A3227B">
        <w:rPr>
          <w:rFonts w:ascii="Calibri" w:eastAsia="Calibri" w:hAnsi="Calibri" w:cs="Calibri"/>
          <w:color w:val="000000" w:themeColor="text1"/>
        </w:rPr>
        <w:t>.</w:t>
      </w:r>
    </w:p>
    <w:p w14:paraId="6348A2AE" w14:textId="20609D40" w:rsidR="006B569A" w:rsidRDefault="006B569A" w:rsidP="006B569A">
      <w:pPr>
        <w:pStyle w:val="Heading3"/>
        <w:rPr>
          <w:rFonts w:ascii="Calibri Light" w:eastAsia="Calibri Light" w:hAnsi="Calibri Light" w:cs="Calibri Light"/>
          <w:color w:val="1F4D78"/>
        </w:rPr>
      </w:pPr>
      <w:bookmarkStart w:id="221" w:name="_Hlk132388912"/>
      <w:r>
        <w:rPr>
          <w:rFonts w:ascii="Calibri Light" w:eastAsia="Calibri Light" w:hAnsi="Calibri Light" w:cs="Calibri Light"/>
          <w:b/>
          <w:bCs/>
          <w:color w:val="1F4D78"/>
        </w:rPr>
        <w:t>Ethnicity Pay Gap</w:t>
      </w:r>
    </w:p>
    <w:p w14:paraId="7495D43C" w14:textId="4B426CF8" w:rsidR="006B569A" w:rsidRPr="00A3227B" w:rsidRDefault="00E916FA" w:rsidP="006B569A">
      <w:pPr>
        <w:rPr>
          <w:rFonts w:ascii="Calibri" w:eastAsia="Calibri" w:hAnsi="Calibri" w:cs="Calibri"/>
          <w:color w:val="000000" w:themeColor="text1"/>
        </w:rPr>
      </w:pPr>
      <w:r w:rsidRPr="0070439E">
        <w:rPr>
          <w:rFonts w:ascii="Calibri" w:eastAsia="Calibri" w:hAnsi="Calibri" w:cs="Calibri"/>
          <w:b/>
          <w:bCs/>
          <w:color w:val="000000" w:themeColor="text1"/>
        </w:rPr>
        <w:t>T</w:t>
      </w:r>
      <w:r w:rsidR="006B569A" w:rsidRPr="0070439E">
        <w:rPr>
          <w:rFonts w:ascii="Calibri" w:eastAsia="Calibri" w:hAnsi="Calibri" w:cs="Calibri"/>
          <w:b/>
          <w:bCs/>
          <w:color w:val="000000" w:themeColor="text1"/>
        </w:rPr>
        <w:t>able</w:t>
      </w:r>
      <w:r w:rsidRPr="0070439E">
        <w:rPr>
          <w:rFonts w:ascii="Calibri" w:eastAsia="Calibri" w:hAnsi="Calibri" w:cs="Calibri"/>
          <w:b/>
          <w:bCs/>
          <w:color w:val="000000" w:themeColor="text1"/>
        </w:rPr>
        <w:t xml:space="preserve">: </w:t>
      </w:r>
      <w:r w:rsidRPr="0070439E">
        <w:rPr>
          <w:b/>
          <w:bCs/>
        </w:rPr>
        <w:t>Overall</w:t>
      </w:r>
      <w:r w:rsidRPr="00997B44">
        <w:rPr>
          <w:b/>
          <w:bCs/>
        </w:rPr>
        <w:t xml:space="preserve"> mean and median </w:t>
      </w:r>
      <w:r>
        <w:rPr>
          <w:b/>
          <w:bCs/>
        </w:rPr>
        <w:t>ethnicity</w:t>
      </w:r>
      <w:r w:rsidRPr="00997B44">
        <w:rPr>
          <w:b/>
          <w:bCs/>
        </w:rPr>
        <w:t xml:space="preserve"> pay gaps</w:t>
      </w:r>
      <w:r>
        <w:rPr>
          <w:b/>
          <w:bCs/>
        </w:rPr>
        <w:t xml:space="preserve"> by occupational group, </w:t>
      </w:r>
      <w:r w:rsidRPr="00997B44">
        <w:rPr>
          <w:b/>
          <w:bCs/>
        </w:rPr>
        <w:t>20</w:t>
      </w:r>
      <w:r>
        <w:rPr>
          <w:b/>
          <w:bCs/>
        </w:rPr>
        <w:t>22.</w:t>
      </w:r>
      <w:r w:rsidRPr="00997B44">
        <w:rPr>
          <w:b/>
          <w:bCs/>
        </w:rPr>
        <w:t xml:space="preserve"> </w:t>
      </w:r>
    </w:p>
    <w:tbl>
      <w:tblPr>
        <w:tblStyle w:val="TableGrid"/>
        <w:tblW w:w="8784" w:type="dxa"/>
        <w:tblLayout w:type="fixed"/>
        <w:tblLook w:val="04A0" w:firstRow="1" w:lastRow="0" w:firstColumn="1" w:lastColumn="0" w:noHBand="0" w:noVBand="1"/>
      </w:tblPr>
      <w:tblGrid>
        <w:gridCol w:w="1555"/>
        <w:gridCol w:w="1275"/>
        <w:gridCol w:w="851"/>
        <w:gridCol w:w="1417"/>
        <w:gridCol w:w="1134"/>
        <w:gridCol w:w="1418"/>
        <w:gridCol w:w="1134"/>
      </w:tblGrid>
      <w:tr w:rsidR="00E916FA" w:rsidRPr="009C3274" w14:paraId="46E49E09" w14:textId="77777777" w:rsidTr="00E916FA">
        <w:trPr>
          <w:trHeight w:val="292"/>
        </w:trPr>
        <w:tc>
          <w:tcPr>
            <w:tcW w:w="1555" w:type="dxa"/>
            <w:noWrap/>
            <w:hideMark/>
          </w:tcPr>
          <w:p w14:paraId="6F865DD0" w14:textId="07992B97" w:rsidR="00E916FA" w:rsidRPr="009C3274" w:rsidRDefault="00E916FA" w:rsidP="00E916FA">
            <w:pPr>
              <w:rPr>
                <w:rFonts w:ascii="Calibri" w:eastAsia="Times New Roman" w:hAnsi="Calibri" w:cs="Calibri"/>
                <w:b/>
                <w:bCs/>
                <w:color w:val="000000"/>
                <w:lang w:eastAsia="en-GB"/>
              </w:rPr>
            </w:pPr>
            <w:r>
              <w:rPr>
                <w:rFonts w:ascii="Calibri" w:eastAsia="Times New Roman" w:hAnsi="Calibri" w:cs="Calibri"/>
                <w:b/>
                <w:bCs/>
                <w:color w:val="000000"/>
                <w:lang w:eastAsia="en-GB"/>
              </w:rPr>
              <w:t>Occupational Group</w:t>
            </w:r>
          </w:p>
        </w:tc>
        <w:tc>
          <w:tcPr>
            <w:tcW w:w="1275" w:type="dxa"/>
          </w:tcPr>
          <w:p w14:paraId="10C9F84A" w14:textId="77777777" w:rsidR="00E916FA" w:rsidRPr="009C3274" w:rsidRDefault="00E916FA" w:rsidP="00E916FA">
            <w:pPr>
              <w:jc w:val="center"/>
              <w:rPr>
                <w:rFonts w:ascii="Calibri" w:eastAsia="Times New Roman" w:hAnsi="Calibri" w:cs="Calibri"/>
                <w:b/>
                <w:bCs/>
                <w:color w:val="000000"/>
                <w:lang w:eastAsia="en-GB"/>
              </w:rPr>
            </w:pPr>
          </w:p>
        </w:tc>
        <w:tc>
          <w:tcPr>
            <w:tcW w:w="851" w:type="dxa"/>
            <w:noWrap/>
          </w:tcPr>
          <w:p w14:paraId="2F46EEF3" w14:textId="77777777" w:rsidR="00E916FA" w:rsidRPr="009C3274" w:rsidRDefault="00E916FA" w:rsidP="00E916FA">
            <w:pPr>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No</w:t>
            </w:r>
          </w:p>
        </w:tc>
        <w:tc>
          <w:tcPr>
            <w:tcW w:w="1417" w:type="dxa"/>
          </w:tcPr>
          <w:p w14:paraId="4F499F5E" w14:textId="0A564288" w:rsidR="00E916FA" w:rsidRPr="009C3274" w:rsidRDefault="00E916FA" w:rsidP="00E916FA">
            <w:pPr>
              <w:jc w:val="center"/>
              <w:rPr>
                <w:rFonts w:ascii="Calibri" w:eastAsia="Times New Roman" w:hAnsi="Calibri" w:cs="Calibri"/>
                <w:b/>
                <w:bCs/>
                <w:color w:val="000000"/>
                <w:lang w:eastAsia="en-GB"/>
              </w:rPr>
            </w:pPr>
            <w:r>
              <w:rPr>
                <w:rFonts w:ascii="Calibri" w:eastAsia="Calibri" w:hAnsi="Calibri" w:cs="Calibri"/>
                <w:b/>
                <w:bCs/>
                <w:color w:val="000000" w:themeColor="text1"/>
              </w:rPr>
              <w:t>M</w:t>
            </w:r>
            <w:r w:rsidRPr="00532302">
              <w:rPr>
                <w:rFonts w:ascii="Calibri" w:eastAsia="Calibri" w:hAnsi="Calibri" w:cs="Calibri"/>
                <w:b/>
                <w:bCs/>
                <w:color w:val="000000" w:themeColor="text1"/>
              </w:rPr>
              <w:t xml:space="preserve">ean </w:t>
            </w:r>
            <w:r>
              <w:rPr>
                <w:rFonts w:ascii="Calibri" w:eastAsia="Calibri" w:hAnsi="Calibri" w:cs="Calibri"/>
                <w:b/>
                <w:bCs/>
                <w:color w:val="000000" w:themeColor="text1"/>
              </w:rPr>
              <w:t>h</w:t>
            </w:r>
            <w:r w:rsidRPr="00532302">
              <w:rPr>
                <w:rFonts w:ascii="Calibri" w:eastAsia="Calibri" w:hAnsi="Calibri" w:cs="Calibri"/>
                <w:b/>
                <w:bCs/>
                <w:color w:val="000000" w:themeColor="text1"/>
              </w:rPr>
              <w:t>ourly pay £</w:t>
            </w:r>
          </w:p>
        </w:tc>
        <w:tc>
          <w:tcPr>
            <w:tcW w:w="1134" w:type="dxa"/>
            <w:noWrap/>
          </w:tcPr>
          <w:p w14:paraId="5673B0BD" w14:textId="7B3D7F2F" w:rsidR="00E916FA" w:rsidRPr="009C3274" w:rsidRDefault="00E916FA" w:rsidP="00E916FA">
            <w:pPr>
              <w:jc w:val="center"/>
              <w:rPr>
                <w:rFonts w:ascii="Calibri" w:eastAsia="Times New Roman" w:hAnsi="Calibri" w:cs="Calibri"/>
                <w:b/>
                <w:bCs/>
                <w:color w:val="000000"/>
                <w:lang w:eastAsia="en-GB"/>
              </w:rPr>
            </w:pPr>
            <w:r w:rsidRPr="00532302">
              <w:rPr>
                <w:rFonts w:ascii="Calibri" w:eastAsia="Calibri" w:hAnsi="Calibri" w:cs="Calibri"/>
                <w:b/>
                <w:bCs/>
                <w:color w:val="000000" w:themeColor="text1"/>
              </w:rPr>
              <w:t xml:space="preserve">Mean </w:t>
            </w:r>
            <w:r>
              <w:rPr>
                <w:rFonts w:ascii="Calibri" w:eastAsia="Calibri" w:hAnsi="Calibri" w:cs="Calibri"/>
                <w:b/>
                <w:bCs/>
                <w:color w:val="000000" w:themeColor="text1"/>
              </w:rPr>
              <w:t>p</w:t>
            </w:r>
            <w:r w:rsidRPr="00532302">
              <w:rPr>
                <w:rFonts w:ascii="Calibri" w:eastAsia="Calibri" w:hAnsi="Calibri" w:cs="Calibri"/>
                <w:b/>
                <w:bCs/>
                <w:color w:val="000000" w:themeColor="text1"/>
              </w:rPr>
              <w:t xml:space="preserve">ay </w:t>
            </w:r>
            <w:r>
              <w:rPr>
                <w:rFonts w:ascii="Calibri" w:eastAsia="Calibri" w:hAnsi="Calibri" w:cs="Calibri"/>
                <w:b/>
                <w:bCs/>
                <w:color w:val="000000" w:themeColor="text1"/>
              </w:rPr>
              <w:t>g</w:t>
            </w:r>
            <w:r w:rsidRPr="00532302">
              <w:rPr>
                <w:rFonts w:ascii="Calibri" w:eastAsia="Calibri" w:hAnsi="Calibri" w:cs="Calibri"/>
                <w:b/>
                <w:bCs/>
                <w:color w:val="000000" w:themeColor="text1"/>
              </w:rPr>
              <w:t>ap (%)</w:t>
            </w:r>
          </w:p>
        </w:tc>
        <w:tc>
          <w:tcPr>
            <w:tcW w:w="1418" w:type="dxa"/>
          </w:tcPr>
          <w:p w14:paraId="2F502977" w14:textId="7001976B" w:rsidR="00E916FA" w:rsidRPr="009C3274" w:rsidRDefault="00E916FA" w:rsidP="00E916FA">
            <w:pPr>
              <w:jc w:val="center"/>
              <w:rPr>
                <w:rFonts w:ascii="Calibri" w:eastAsia="Times New Roman" w:hAnsi="Calibri" w:cs="Calibri"/>
                <w:b/>
                <w:bCs/>
                <w:color w:val="000000"/>
                <w:lang w:eastAsia="en-GB"/>
              </w:rPr>
            </w:pPr>
            <w:r>
              <w:rPr>
                <w:rFonts w:ascii="Calibri" w:eastAsia="Calibri" w:hAnsi="Calibri" w:cs="Calibri"/>
                <w:b/>
                <w:bCs/>
                <w:color w:val="000000" w:themeColor="text1"/>
              </w:rPr>
              <w:t>M</w:t>
            </w:r>
            <w:r w:rsidRPr="00532302">
              <w:rPr>
                <w:rFonts w:ascii="Calibri" w:eastAsia="Calibri" w:hAnsi="Calibri" w:cs="Calibri"/>
                <w:b/>
                <w:bCs/>
                <w:color w:val="000000" w:themeColor="text1"/>
              </w:rPr>
              <w:t xml:space="preserve">ean </w:t>
            </w:r>
            <w:r>
              <w:rPr>
                <w:rFonts w:ascii="Calibri" w:eastAsia="Calibri" w:hAnsi="Calibri" w:cs="Calibri"/>
                <w:b/>
                <w:bCs/>
                <w:color w:val="000000" w:themeColor="text1"/>
              </w:rPr>
              <w:t>h</w:t>
            </w:r>
            <w:r w:rsidRPr="00532302">
              <w:rPr>
                <w:rFonts w:ascii="Calibri" w:eastAsia="Calibri" w:hAnsi="Calibri" w:cs="Calibri"/>
                <w:b/>
                <w:bCs/>
                <w:color w:val="000000" w:themeColor="text1"/>
              </w:rPr>
              <w:t>ourly pay £</w:t>
            </w:r>
          </w:p>
        </w:tc>
        <w:tc>
          <w:tcPr>
            <w:tcW w:w="1134" w:type="dxa"/>
          </w:tcPr>
          <w:p w14:paraId="315375CD" w14:textId="33D71EE8" w:rsidR="00E916FA" w:rsidRPr="00532302" w:rsidRDefault="00E916FA" w:rsidP="00E916FA">
            <w:pPr>
              <w:jc w:val="center"/>
              <w:rPr>
                <w:rFonts w:ascii="Calibri" w:eastAsia="Calibri" w:hAnsi="Calibri" w:cs="Calibri"/>
                <w:b/>
                <w:bCs/>
                <w:color w:val="000000" w:themeColor="text1"/>
              </w:rPr>
            </w:pPr>
            <w:r w:rsidRPr="00532302">
              <w:rPr>
                <w:rFonts w:ascii="Calibri" w:eastAsia="Calibri" w:hAnsi="Calibri" w:cs="Calibri"/>
                <w:b/>
                <w:bCs/>
                <w:color w:val="000000" w:themeColor="text1"/>
              </w:rPr>
              <w:t xml:space="preserve">Mean </w:t>
            </w:r>
            <w:r>
              <w:rPr>
                <w:rFonts w:ascii="Calibri" w:eastAsia="Calibri" w:hAnsi="Calibri" w:cs="Calibri"/>
                <w:b/>
                <w:bCs/>
                <w:color w:val="000000" w:themeColor="text1"/>
              </w:rPr>
              <w:t>p</w:t>
            </w:r>
            <w:r w:rsidRPr="00532302">
              <w:rPr>
                <w:rFonts w:ascii="Calibri" w:eastAsia="Calibri" w:hAnsi="Calibri" w:cs="Calibri"/>
                <w:b/>
                <w:bCs/>
                <w:color w:val="000000" w:themeColor="text1"/>
              </w:rPr>
              <w:t xml:space="preserve">ay </w:t>
            </w:r>
            <w:r>
              <w:rPr>
                <w:rFonts w:ascii="Calibri" w:eastAsia="Calibri" w:hAnsi="Calibri" w:cs="Calibri"/>
                <w:b/>
                <w:bCs/>
                <w:color w:val="000000" w:themeColor="text1"/>
              </w:rPr>
              <w:t>g</w:t>
            </w:r>
            <w:r w:rsidRPr="00532302">
              <w:rPr>
                <w:rFonts w:ascii="Calibri" w:eastAsia="Calibri" w:hAnsi="Calibri" w:cs="Calibri"/>
                <w:b/>
                <w:bCs/>
                <w:color w:val="000000" w:themeColor="text1"/>
              </w:rPr>
              <w:t>ap (%)</w:t>
            </w:r>
          </w:p>
        </w:tc>
      </w:tr>
      <w:tr w:rsidR="00E12D61" w:rsidRPr="00532302" w14:paraId="4FB5B2E3" w14:textId="77777777" w:rsidTr="00E12D61">
        <w:trPr>
          <w:trHeight w:val="537"/>
        </w:trPr>
        <w:tc>
          <w:tcPr>
            <w:tcW w:w="1555" w:type="dxa"/>
            <w:noWrap/>
          </w:tcPr>
          <w:p w14:paraId="4B8F8E52" w14:textId="599155C7" w:rsidR="00E12D61" w:rsidRPr="00532302" w:rsidRDefault="00E12D61" w:rsidP="00B57560">
            <w:pPr>
              <w:rPr>
                <w:rFonts w:ascii="Calibri" w:eastAsia="Times New Roman" w:hAnsi="Calibri" w:cs="Calibri"/>
                <w:color w:val="000000"/>
                <w:lang w:eastAsia="en-GB"/>
              </w:rPr>
            </w:pPr>
            <w:r>
              <w:rPr>
                <w:rFonts w:ascii="Calibri" w:eastAsia="Times New Roman" w:hAnsi="Calibri" w:cs="Calibri"/>
                <w:color w:val="000000"/>
                <w:lang w:eastAsia="en-GB"/>
              </w:rPr>
              <w:t>All academic</w:t>
            </w:r>
          </w:p>
        </w:tc>
        <w:tc>
          <w:tcPr>
            <w:tcW w:w="1275" w:type="dxa"/>
          </w:tcPr>
          <w:p w14:paraId="5D53AB77" w14:textId="627DDFFF" w:rsidR="00E12D61" w:rsidRPr="00532302" w:rsidRDefault="00E12D61" w:rsidP="00B57560">
            <w:pPr>
              <w:rPr>
                <w:rFonts w:ascii="Calibri" w:hAnsi="Calibri" w:cs="Calibri"/>
                <w:color w:val="000000"/>
              </w:rPr>
            </w:pPr>
            <w:r>
              <w:rPr>
                <w:rFonts w:ascii="Calibri" w:hAnsi="Calibri" w:cs="Calibri"/>
                <w:color w:val="000000"/>
              </w:rPr>
              <w:t>Minoritised ethnic</w:t>
            </w:r>
          </w:p>
        </w:tc>
        <w:tc>
          <w:tcPr>
            <w:tcW w:w="851" w:type="dxa"/>
            <w:noWrap/>
          </w:tcPr>
          <w:p w14:paraId="6DE5DF9A" w14:textId="7381F106" w:rsidR="00E12D61" w:rsidRPr="00532302" w:rsidRDefault="00E12D61" w:rsidP="00B57560">
            <w:pPr>
              <w:jc w:val="center"/>
              <w:rPr>
                <w:rFonts w:ascii="Calibri" w:hAnsi="Calibri" w:cs="Calibri"/>
                <w:color w:val="000000"/>
              </w:rPr>
            </w:pPr>
            <w:r>
              <w:rPr>
                <w:rFonts w:ascii="Calibri" w:hAnsi="Calibri" w:cs="Calibri"/>
                <w:color w:val="000000"/>
              </w:rPr>
              <w:t>465</w:t>
            </w:r>
          </w:p>
        </w:tc>
        <w:tc>
          <w:tcPr>
            <w:tcW w:w="1417" w:type="dxa"/>
          </w:tcPr>
          <w:p w14:paraId="26BFFBF3" w14:textId="3AF09E2F" w:rsidR="00E12D61" w:rsidRPr="00532302" w:rsidRDefault="00E12D61" w:rsidP="00B57560">
            <w:pPr>
              <w:jc w:val="center"/>
              <w:rPr>
                <w:rFonts w:ascii="Calibri" w:eastAsia="Times New Roman" w:hAnsi="Calibri" w:cs="Calibri"/>
                <w:color w:val="000000"/>
                <w:lang w:eastAsia="en-GB"/>
              </w:rPr>
            </w:pPr>
            <w:r>
              <w:rPr>
                <w:rFonts w:ascii="Calibri" w:eastAsia="Times New Roman" w:hAnsi="Calibri" w:cs="Calibri"/>
                <w:color w:val="000000"/>
                <w:lang w:eastAsia="en-GB"/>
              </w:rPr>
              <w:t>21.95</w:t>
            </w:r>
          </w:p>
        </w:tc>
        <w:tc>
          <w:tcPr>
            <w:tcW w:w="1134" w:type="dxa"/>
            <w:vMerge w:val="restart"/>
            <w:noWrap/>
            <w:vAlign w:val="center"/>
          </w:tcPr>
          <w:p w14:paraId="2E316D6C" w14:textId="21EEDD0C" w:rsidR="00E12D61" w:rsidRPr="00532302" w:rsidRDefault="00E12D61" w:rsidP="00E12D61">
            <w:pPr>
              <w:jc w:val="center"/>
              <w:rPr>
                <w:rFonts w:ascii="Calibri" w:eastAsia="Times New Roman" w:hAnsi="Calibri" w:cs="Calibri"/>
                <w:color w:val="000000"/>
                <w:lang w:eastAsia="en-GB"/>
              </w:rPr>
            </w:pPr>
            <w:r>
              <w:rPr>
                <w:rFonts w:ascii="Calibri" w:eastAsia="Times New Roman" w:hAnsi="Calibri" w:cs="Calibri"/>
                <w:color w:val="000000"/>
                <w:lang w:eastAsia="en-GB"/>
              </w:rPr>
              <w:t>13.9</w:t>
            </w:r>
          </w:p>
        </w:tc>
        <w:tc>
          <w:tcPr>
            <w:tcW w:w="1418" w:type="dxa"/>
          </w:tcPr>
          <w:p w14:paraId="393FA166" w14:textId="0034F5BC" w:rsidR="00E12D61" w:rsidRPr="00532302" w:rsidRDefault="00E12D61" w:rsidP="00B57560">
            <w:pPr>
              <w:jc w:val="center"/>
              <w:rPr>
                <w:rFonts w:ascii="Calibri" w:eastAsia="Times New Roman" w:hAnsi="Calibri" w:cs="Calibri"/>
                <w:color w:val="000000"/>
                <w:lang w:eastAsia="en-GB"/>
              </w:rPr>
            </w:pPr>
            <w:r>
              <w:rPr>
                <w:rFonts w:ascii="Calibri" w:eastAsia="Times New Roman" w:hAnsi="Calibri" w:cs="Calibri"/>
                <w:color w:val="000000"/>
                <w:lang w:eastAsia="en-GB"/>
              </w:rPr>
              <w:t>19.12</w:t>
            </w:r>
          </w:p>
        </w:tc>
        <w:tc>
          <w:tcPr>
            <w:tcW w:w="1134" w:type="dxa"/>
            <w:vMerge w:val="restart"/>
            <w:vAlign w:val="center"/>
          </w:tcPr>
          <w:p w14:paraId="591FA5BD" w14:textId="476EE27B" w:rsidR="00E12D61" w:rsidRDefault="00E12D61" w:rsidP="00E12D61">
            <w:pPr>
              <w:jc w:val="center"/>
              <w:rPr>
                <w:rFonts w:ascii="Calibri" w:eastAsia="Times New Roman" w:hAnsi="Calibri" w:cs="Calibri"/>
                <w:color w:val="000000"/>
                <w:lang w:eastAsia="en-GB"/>
              </w:rPr>
            </w:pPr>
            <w:r>
              <w:rPr>
                <w:rFonts w:ascii="Calibri" w:eastAsia="Times New Roman" w:hAnsi="Calibri" w:cs="Calibri"/>
                <w:color w:val="000000"/>
                <w:lang w:eastAsia="en-GB"/>
              </w:rPr>
              <w:t>12.0</w:t>
            </w:r>
          </w:p>
        </w:tc>
      </w:tr>
      <w:tr w:rsidR="00E12D61" w:rsidRPr="00532302" w14:paraId="28313E1E" w14:textId="77777777" w:rsidTr="00E12D61">
        <w:trPr>
          <w:trHeight w:val="537"/>
        </w:trPr>
        <w:tc>
          <w:tcPr>
            <w:tcW w:w="1555" w:type="dxa"/>
            <w:noWrap/>
          </w:tcPr>
          <w:p w14:paraId="089C9A71" w14:textId="77777777" w:rsidR="00E12D61" w:rsidRPr="00532302" w:rsidRDefault="00E12D61" w:rsidP="00B57560">
            <w:pPr>
              <w:rPr>
                <w:rFonts w:ascii="Calibri" w:eastAsia="Times New Roman" w:hAnsi="Calibri" w:cs="Calibri"/>
                <w:color w:val="000000"/>
                <w:lang w:eastAsia="en-GB"/>
              </w:rPr>
            </w:pPr>
          </w:p>
        </w:tc>
        <w:tc>
          <w:tcPr>
            <w:tcW w:w="1275" w:type="dxa"/>
          </w:tcPr>
          <w:p w14:paraId="7ADD8AB5" w14:textId="4D398641" w:rsidR="00E12D61" w:rsidRPr="00532302" w:rsidRDefault="00E12D61" w:rsidP="00B57560">
            <w:pPr>
              <w:rPr>
                <w:rFonts w:ascii="Calibri" w:hAnsi="Calibri" w:cs="Calibri"/>
                <w:color w:val="000000"/>
              </w:rPr>
            </w:pPr>
            <w:r>
              <w:rPr>
                <w:rFonts w:ascii="Calibri" w:hAnsi="Calibri" w:cs="Calibri"/>
                <w:color w:val="000000"/>
              </w:rPr>
              <w:t>White</w:t>
            </w:r>
          </w:p>
        </w:tc>
        <w:tc>
          <w:tcPr>
            <w:tcW w:w="851" w:type="dxa"/>
            <w:noWrap/>
          </w:tcPr>
          <w:p w14:paraId="201F41A9" w14:textId="60D199F9" w:rsidR="00E12D61" w:rsidRPr="00532302" w:rsidRDefault="00E12D61" w:rsidP="00B57560">
            <w:pPr>
              <w:jc w:val="center"/>
              <w:rPr>
                <w:rFonts w:ascii="Calibri" w:hAnsi="Calibri" w:cs="Calibri"/>
                <w:color w:val="000000"/>
              </w:rPr>
            </w:pPr>
            <w:r>
              <w:rPr>
                <w:rFonts w:ascii="Calibri" w:hAnsi="Calibri" w:cs="Calibri"/>
                <w:color w:val="000000"/>
              </w:rPr>
              <w:t>2214</w:t>
            </w:r>
          </w:p>
        </w:tc>
        <w:tc>
          <w:tcPr>
            <w:tcW w:w="1417" w:type="dxa"/>
          </w:tcPr>
          <w:p w14:paraId="6A26A644" w14:textId="094B9DFD" w:rsidR="00E12D61" w:rsidRPr="00532302" w:rsidRDefault="00E12D61" w:rsidP="00B57560">
            <w:pPr>
              <w:jc w:val="center"/>
              <w:rPr>
                <w:rFonts w:ascii="Calibri" w:eastAsia="Times New Roman" w:hAnsi="Calibri" w:cs="Calibri"/>
                <w:color w:val="000000"/>
                <w:lang w:eastAsia="en-GB"/>
              </w:rPr>
            </w:pPr>
            <w:r>
              <w:rPr>
                <w:rFonts w:ascii="Calibri" w:eastAsia="Times New Roman" w:hAnsi="Calibri" w:cs="Calibri"/>
                <w:color w:val="000000"/>
                <w:lang w:eastAsia="en-GB"/>
              </w:rPr>
              <w:t>25.50</w:t>
            </w:r>
          </w:p>
        </w:tc>
        <w:tc>
          <w:tcPr>
            <w:tcW w:w="1134" w:type="dxa"/>
            <w:vMerge/>
            <w:noWrap/>
            <w:vAlign w:val="center"/>
          </w:tcPr>
          <w:p w14:paraId="67C56F8B" w14:textId="77777777" w:rsidR="00E12D61" w:rsidRPr="00532302" w:rsidRDefault="00E12D61" w:rsidP="00E12D61">
            <w:pPr>
              <w:jc w:val="center"/>
              <w:rPr>
                <w:rFonts w:ascii="Calibri" w:eastAsia="Times New Roman" w:hAnsi="Calibri" w:cs="Calibri"/>
                <w:color w:val="000000"/>
                <w:lang w:eastAsia="en-GB"/>
              </w:rPr>
            </w:pPr>
          </w:p>
        </w:tc>
        <w:tc>
          <w:tcPr>
            <w:tcW w:w="1418" w:type="dxa"/>
          </w:tcPr>
          <w:p w14:paraId="1C551678" w14:textId="31FC4F14" w:rsidR="00E12D61" w:rsidRPr="00532302" w:rsidRDefault="00E12D61" w:rsidP="00B57560">
            <w:pPr>
              <w:jc w:val="center"/>
              <w:rPr>
                <w:rFonts w:ascii="Calibri" w:eastAsia="Times New Roman" w:hAnsi="Calibri" w:cs="Calibri"/>
                <w:color w:val="000000"/>
                <w:lang w:eastAsia="en-GB"/>
              </w:rPr>
            </w:pPr>
            <w:r>
              <w:rPr>
                <w:rFonts w:ascii="Calibri" w:eastAsia="Times New Roman" w:hAnsi="Calibri" w:cs="Calibri"/>
                <w:color w:val="000000"/>
                <w:lang w:eastAsia="en-GB"/>
              </w:rPr>
              <w:t>21.73</w:t>
            </w:r>
          </w:p>
        </w:tc>
        <w:tc>
          <w:tcPr>
            <w:tcW w:w="1134" w:type="dxa"/>
            <w:vMerge/>
          </w:tcPr>
          <w:p w14:paraId="074BAD73" w14:textId="35AC3FA7" w:rsidR="00E12D61" w:rsidRPr="00532302" w:rsidRDefault="00E12D61" w:rsidP="00B57560">
            <w:pPr>
              <w:jc w:val="center"/>
              <w:rPr>
                <w:rFonts w:ascii="Calibri" w:eastAsia="Times New Roman" w:hAnsi="Calibri" w:cs="Calibri"/>
                <w:color w:val="000000"/>
                <w:lang w:eastAsia="en-GB"/>
              </w:rPr>
            </w:pPr>
          </w:p>
        </w:tc>
      </w:tr>
      <w:tr w:rsidR="00E12D61" w:rsidRPr="00532302" w14:paraId="7CB6026F" w14:textId="77777777" w:rsidTr="00E12D61">
        <w:trPr>
          <w:trHeight w:val="537"/>
        </w:trPr>
        <w:tc>
          <w:tcPr>
            <w:tcW w:w="1555" w:type="dxa"/>
            <w:noWrap/>
          </w:tcPr>
          <w:p w14:paraId="0428CCFC" w14:textId="4F465E48" w:rsidR="00E12D61" w:rsidRPr="00532302" w:rsidRDefault="00E12D61" w:rsidP="00E916FA">
            <w:pPr>
              <w:rPr>
                <w:rFonts w:ascii="Calibri" w:eastAsia="Times New Roman" w:hAnsi="Calibri" w:cs="Calibri"/>
                <w:color w:val="000000"/>
                <w:lang w:eastAsia="en-GB"/>
              </w:rPr>
            </w:pPr>
            <w:r>
              <w:rPr>
                <w:rFonts w:ascii="Calibri" w:eastAsia="Times New Roman" w:hAnsi="Calibri" w:cs="Calibri"/>
                <w:color w:val="000000"/>
                <w:lang w:eastAsia="en-GB"/>
              </w:rPr>
              <w:t>Clinical Academics</w:t>
            </w:r>
          </w:p>
        </w:tc>
        <w:tc>
          <w:tcPr>
            <w:tcW w:w="1275" w:type="dxa"/>
          </w:tcPr>
          <w:p w14:paraId="2C4C88FC" w14:textId="5EEA223C" w:rsidR="00E12D61" w:rsidRPr="00532302" w:rsidRDefault="00E12D61" w:rsidP="00E916FA">
            <w:pPr>
              <w:rPr>
                <w:rFonts w:ascii="Calibri" w:eastAsia="Times New Roman" w:hAnsi="Calibri" w:cs="Calibri"/>
                <w:color w:val="000000"/>
                <w:lang w:eastAsia="en-GB"/>
              </w:rPr>
            </w:pPr>
            <w:r>
              <w:rPr>
                <w:rFonts w:ascii="Calibri" w:hAnsi="Calibri" w:cs="Calibri"/>
                <w:color w:val="000000"/>
              </w:rPr>
              <w:t>Minoritised ethnic</w:t>
            </w:r>
          </w:p>
        </w:tc>
        <w:tc>
          <w:tcPr>
            <w:tcW w:w="851" w:type="dxa"/>
            <w:noWrap/>
          </w:tcPr>
          <w:p w14:paraId="0F2FF02F" w14:textId="5C1B89DA" w:rsidR="00E12D61" w:rsidRPr="00532302" w:rsidRDefault="00E12D61" w:rsidP="00E916FA">
            <w:pPr>
              <w:jc w:val="center"/>
              <w:rPr>
                <w:rFonts w:ascii="Calibri" w:eastAsia="Times New Roman" w:hAnsi="Calibri" w:cs="Calibri"/>
                <w:color w:val="000000"/>
                <w:lang w:eastAsia="en-GB"/>
              </w:rPr>
            </w:pPr>
            <w:r>
              <w:rPr>
                <w:rFonts w:ascii="Calibri" w:eastAsia="Times New Roman" w:hAnsi="Calibri" w:cs="Calibri"/>
                <w:color w:val="000000"/>
                <w:lang w:eastAsia="en-GB"/>
              </w:rPr>
              <w:t>30</w:t>
            </w:r>
          </w:p>
        </w:tc>
        <w:tc>
          <w:tcPr>
            <w:tcW w:w="1417" w:type="dxa"/>
          </w:tcPr>
          <w:p w14:paraId="3D1DFD3D" w14:textId="0C102AE3" w:rsidR="00E12D61" w:rsidRPr="00532302" w:rsidRDefault="00E12D61" w:rsidP="00E916FA">
            <w:pPr>
              <w:jc w:val="center"/>
              <w:rPr>
                <w:rFonts w:ascii="Calibri" w:eastAsia="Times New Roman" w:hAnsi="Calibri" w:cs="Calibri"/>
                <w:color w:val="000000"/>
                <w:lang w:eastAsia="en-GB"/>
              </w:rPr>
            </w:pPr>
            <w:r>
              <w:rPr>
                <w:rFonts w:ascii="Calibri" w:eastAsia="Times New Roman" w:hAnsi="Calibri" w:cs="Calibri"/>
                <w:color w:val="000000"/>
                <w:lang w:eastAsia="en-GB"/>
              </w:rPr>
              <w:t>47.47</w:t>
            </w:r>
          </w:p>
        </w:tc>
        <w:tc>
          <w:tcPr>
            <w:tcW w:w="1134" w:type="dxa"/>
            <w:vMerge w:val="restart"/>
            <w:noWrap/>
            <w:vAlign w:val="center"/>
          </w:tcPr>
          <w:p w14:paraId="4288CF8C" w14:textId="6619FED0" w:rsidR="00E12D61" w:rsidRPr="00532302" w:rsidRDefault="00E12D61" w:rsidP="00E12D61">
            <w:pPr>
              <w:jc w:val="center"/>
              <w:rPr>
                <w:rFonts w:ascii="Calibri" w:eastAsia="Times New Roman" w:hAnsi="Calibri" w:cs="Calibri"/>
                <w:color w:val="000000"/>
                <w:lang w:eastAsia="en-GB"/>
              </w:rPr>
            </w:pPr>
            <w:r>
              <w:rPr>
                <w:rFonts w:ascii="Calibri" w:eastAsia="Times New Roman" w:hAnsi="Calibri" w:cs="Calibri"/>
                <w:color w:val="000000"/>
                <w:lang w:eastAsia="en-GB"/>
              </w:rPr>
              <w:t>3.7</w:t>
            </w:r>
          </w:p>
        </w:tc>
        <w:tc>
          <w:tcPr>
            <w:tcW w:w="1418" w:type="dxa"/>
          </w:tcPr>
          <w:p w14:paraId="158F0527" w14:textId="72F358E5" w:rsidR="00E12D61" w:rsidRPr="00532302" w:rsidRDefault="00E12D61" w:rsidP="00E916FA">
            <w:pPr>
              <w:jc w:val="center"/>
              <w:rPr>
                <w:rFonts w:ascii="Calibri" w:eastAsia="Times New Roman" w:hAnsi="Calibri" w:cs="Calibri"/>
                <w:color w:val="000000"/>
                <w:lang w:eastAsia="en-GB"/>
              </w:rPr>
            </w:pPr>
            <w:r>
              <w:rPr>
                <w:rFonts w:ascii="Calibri" w:eastAsia="Times New Roman" w:hAnsi="Calibri" w:cs="Calibri"/>
                <w:color w:val="000000"/>
                <w:lang w:eastAsia="en-GB"/>
              </w:rPr>
              <w:t>40.81</w:t>
            </w:r>
          </w:p>
        </w:tc>
        <w:tc>
          <w:tcPr>
            <w:tcW w:w="1134" w:type="dxa"/>
            <w:vMerge w:val="restart"/>
            <w:vAlign w:val="center"/>
          </w:tcPr>
          <w:p w14:paraId="2AC57419" w14:textId="4A2FB195" w:rsidR="00E12D61" w:rsidRDefault="00E12D61" w:rsidP="00E12D61">
            <w:pPr>
              <w:jc w:val="center"/>
              <w:rPr>
                <w:rFonts w:ascii="Calibri" w:eastAsia="Times New Roman" w:hAnsi="Calibri" w:cs="Calibri"/>
                <w:color w:val="000000"/>
                <w:lang w:eastAsia="en-GB"/>
              </w:rPr>
            </w:pPr>
            <w:r>
              <w:rPr>
                <w:rFonts w:ascii="Calibri" w:eastAsia="Times New Roman" w:hAnsi="Calibri" w:cs="Calibri"/>
                <w:color w:val="000000"/>
                <w:lang w:eastAsia="en-GB"/>
              </w:rPr>
              <w:t>10.8</w:t>
            </w:r>
          </w:p>
        </w:tc>
      </w:tr>
      <w:tr w:rsidR="00E12D61" w:rsidRPr="00532302" w14:paraId="7362F74A" w14:textId="77777777" w:rsidTr="00E12D61">
        <w:trPr>
          <w:trHeight w:val="537"/>
        </w:trPr>
        <w:tc>
          <w:tcPr>
            <w:tcW w:w="1555" w:type="dxa"/>
            <w:noWrap/>
          </w:tcPr>
          <w:p w14:paraId="6D8866A4" w14:textId="77777777" w:rsidR="00E12D61" w:rsidRPr="00532302" w:rsidRDefault="00E12D61" w:rsidP="00E916FA">
            <w:pPr>
              <w:rPr>
                <w:rFonts w:ascii="Calibri" w:eastAsia="Times New Roman" w:hAnsi="Calibri" w:cs="Calibri"/>
                <w:color w:val="000000"/>
                <w:lang w:eastAsia="en-GB"/>
              </w:rPr>
            </w:pPr>
          </w:p>
        </w:tc>
        <w:tc>
          <w:tcPr>
            <w:tcW w:w="1275" w:type="dxa"/>
          </w:tcPr>
          <w:p w14:paraId="24D68768" w14:textId="57303C33" w:rsidR="00E12D61" w:rsidRPr="00532302" w:rsidRDefault="00E12D61" w:rsidP="00E916FA">
            <w:pPr>
              <w:rPr>
                <w:rFonts w:ascii="Calibri" w:eastAsia="Times New Roman" w:hAnsi="Calibri" w:cs="Calibri"/>
                <w:color w:val="000000"/>
                <w:lang w:eastAsia="en-GB"/>
              </w:rPr>
            </w:pPr>
            <w:r>
              <w:rPr>
                <w:rFonts w:ascii="Calibri" w:hAnsi="Calibri" w:cs="Calibri"/>
                <w:color w:val="000000"/>
              </w:rPr>
              <w:t>White</w:t>
            </w:r>
          </w:p>
        </w:tc>
        <w:tc>
          <w:tcPr>
            <w:tcW w:w="851" w:type="dxa"/>
            <w:noWrap/>
          </w:tcPr>
          <w:p w14:paraId="551574ED" w14:textId="6AC21536" w:rsidR="00E12D61" w:rsidRPr="00532302" w:rsidRDefault="00E12D61" w:rsidP="00E916FA">
            <w:pPr>
              <w:jc w:val="center"/>
              <w:rPr>
                <w:rFonts w:ascii="Calibri" w:eastAsia="Times New Roman" w:hAnsi="Calibri" w:cs="Calibri"/>
                <w:color w:val="000000"/>
                <w:lang w:eastAsia="en-GB"/>
              </w:rPr>
            </w:pPr>
            <w:r>
              <w:rPr>
                <w:rFonts w:ascii="Calibri" w:eastAsia="Times New Roman" w:hAnsi="Calibri" w:cs="Calibri"/>
                <w:color w:val="000000"/>
                <w:lang w:eastAsia="en-GB"/>
              </w:rPr>
              <w:t>178</w:t>
            </w:r>
          </w:p>
        </w:tc>
        <w:tc>
          <w:tcPr>
            <w:tcW w:w="1417" w:type="dxa"/>
          </w:tcPr>
          <w:p w14:paraId="33338143" w14:textId="603FE286" w:rsidR="00E12D61" w:rsidRPr="00532302" w:rsidRDefault="00E12D61" w:rsidP="00E916FA">
            <w:pPr>
              <w:jc w:val="center"/>
              <w:rPr>
                <w:rFonts w:ascii="Calibri" w:eastAsia="Times New Roman" w:hAnsi="Calibri" w:cs="Calibri"/>
                <w:color w:val="000000"/>
                <w:lang w:eastAsia="en-GB"/>
              </w:rPr>
            </w:pPr>
            <w:r>
              <w:rPr>
                <w:rFonts w:ascii="Calibri" w:eastAsia="Times New Roman" w:hAnsi="Calibri" w:cs="Calibri"/>
                <w:color w:val="000000"/>
                <w:lang w:eastAsia="en-GB"/>
              </w:rPr>
              <w:t>49.32</w:t>
            </w:r>
          </w:p>
        </w:tc>
        <w:tc>
          <w:tcPr>
            <w:tcW w:w="1134" w:type="dxa"/>
            <w:vMerge/>
            <w:noWrap/>
            <w:vAlign w:val="center"/>
          </w:tcPr>
          <w:p w14:paraId="59F2C706" w14:textId="77777777" w:rsidR="00E12D61" w:rsidRPr="00532302" w:rsidRDefault="00E12D61" w:rsidP="00E12D61">
            <w:pPr>
              <w:jc w:val="center"/>
              <w:rPr>
                <w:rFonts w:ascii="Calibri" w:eastAsia="Times New Roman" w:hAnsi="Calibri" w:cs="Calibri"/>
                <w:color w:val="000000"/>
                <w:lang w:eastAsia="en-GB"/>
              </w:rPr>
            </w:pPr>
          </w:p>
        </w:tc>
        <w:tc>
          <w:tcPr>
            <w:tcW w:w="1418" w:type="dxa"/>
          </w:tcPr>
          <w:p w14:paraId="51CA094B" w14:textId="1EED8194" w:rsidR="00E12D61" w:rsidRPr="00532302" w:rsidRDefault="00E12D61" w:rsidP="00E916FA">
            <w:pPr>
              <w:jc w:val="center"/>
              <w:rPr>
                <w:rFonts w:ascii="Calibri" w:eastAsia="Times New Roman" w:hAnsi="Calibri" w:cs="Calibri"/>
                <w:color w:val="000000"/>
                <w:lang w:eastAsia="en-GB"/>
              </w:rPr>
            </w:pPr>
            <w:r>
              <w:rPr>
                <w:rFonts w:ascii="Calibri" w:eastAsia="Times New Roman" w:hAnsi="Calibri" w:cs="Calibri"/>
                <w:color w:val="000000"/>
                <w:lang w:eastAsia="en-GB"/>
              </w:rPr>
              <w:t>45.77</w:t>
            </w:r>
          </w:p>
        </w:tc>
        <w:tc>
          <w:tcPr>
            <w:tcW w:w="1134" w:type="dxa"/>
            <w:vMerge/>
          </w:tcPr>
          <w:p w14:paraId="4ED37376" w14:textId="5305344C" w:rsidR="00E12D61" w:rsidRPr="00532302" w:rsidRDefault="00E12D61" w:rsidP="00E916FA">
            <w:pPr>
              <w:jc w:val="center"/>
              <w:rPr>
                <w:rFonts w:ascii="Calibri" w:eastAsia="Times New Roman" w:hAnsi="Calibri" w:cs="Calibri"/>
                <w:color w:val="000000"/>
                <w:lang w:eastAsia="en-GB"/>
              </w:rPr>
            </w:pPr>
          </w:p>
        </w:tc>
      </w:tr>
      <w:tr w:rsidR="00E12D61" w:rsidRPr="00532302" w14:paraId="15E0E5D2" w14:textId="77777777" w:rsidTr="00E12D61">
        <w:trPr>
          <w:trHeight w:val="537"/>
        </w:trPr>
        <w:tc>
          <w:tcPr>
            <w:tcW w:w="1555" w:type="dxa"/>
            <w:noWrap/>
          </w:tcPr>
          <w:p w14:paraId="7B6F5048" w14:textId="723FDA10" w:rsidR="00E12D61" w:rsidRPr="00532302" w:rsidRDefault="00E12D61" w:rsidP="00E916FA">
            <w:pPr>
              <w:rPr>
                <w:rFonts w:ascii="Calibri" w:eastAsia="Times New Roman" w:hAnsi="Calibri" w:cs="Calibri"/>
                <w:color w:val="000000"/>
                <w:lang w:eastAsia="en-GB"/>
              </w:rPr>
            </w:pPr>
            <w:r>
              <w:rPr>
                <w:rFonts w:ascii="Calibri" w:eastAsia="Times New Roman" w:hAnsi="Calibri" w:cs="Calibri"/>
                <w:color w:val="000000"/>
                <w:lang w:eastAsia="en-GB"/>
              </w:rPr>
              <w:t>Non-Clinical Academics</w:t>
            </w:r>
          </w:p>
        </w:tc>
        <w:tc>
          <w:tcPr>
            <w:tcW w:w="1275" w:type="dxa"/>
          </w:tcPr>
          <w:p w14:paraId="7867C7FF" w14:textId="708259A6" w:rsidR="00E12D61" w:rsidRPr="00532302" w:rsidRDefault="00E12D61" w:rsidP="00E916FA">
            <w:pPr>
              <w:rPr>
                <w:rFonts w:ascii="Calibri" w:eastAsia="Times New Roman" w:hAnsi="Calibri" w:cs="Calibri"/>
                <w:color w:val="000000"/>
                <w:lang w:eastAsia="en-GB"/>
              </w:rPr>
            </w:pPr>
            <w:r>
              <w:rPr>
                <w:rFonts w:ascii="Calibri" w:hAnsi="Calibri" w:cs="Calibri"/>
                <w:color w:val="000000"/>
              </w:rPr>
              <w:t>Minoritised ethnic</w:t>
            </w:r>
          </w:p>
        </w:tc>
        <w:tc>
          <w:tcPr>
            <w:tcW w:w="851" w:type="dxa"/>
            <w:noWrap/>
          </w:tcPr>
          <w:p w14:paraId="40708CEE" w14:textId="12FFD20A" w:rsidR="00E12D61" w:rsidRPr="00532302" w:rsidRDefault="00E12D61" w:rsidP="00E916FA">
            <w:pPr>
              <w:jc w:val="center"/>
              <w:rPr>
                <w:rFonts w:ascii="Calibri" w:eastAsia="Times New Roman" w:hAnsi="Calibri" w:cs="Calibri"/>
                <w:color w:val="000000"/>
                <w:lang w:eastAsia="en-GB"/>
              </w:rPr>
            </w:pPr>
            <w:r>
              <w:rPr>
                <w:rFonts w:ascii="Calibri" w:eastAsia="Times New Roman" w:hAnsi="Calibri" w:cs="Calibri"/>
                <w:color w:val="000000"/>
                <w:lang w:eastAsia="en-GB"/>
              </w:rPr>
              <w:t>435</w:t>
            </w:r>
          </w:p>
        </w:tc>
        <w:tc>
          <w:tcPr>
            <w:tcW w:w="1417" w:type="dxa"/>
          </w:tcPr>
          <w:p w14:paraId="38DB53B6" w14:textId="560FCA84" w:rsidR="00E12D61" w:rsidRPr="00532302" w:rsidRDefault="00E12D61" w:rsidP="00E916FA">
            <w:pPr>
              <w:jc w:val="center"/>
              <w:rPr>
                <w:rFonts w:ascii="Calibri" w:eastAsia="Times New Roman" w:hAnsi="Calibri" w:cs="Calibri"/>
                <w:color w:val="000000"/>
                <w:lang w:eastAsia="en-GB"/>
              </w:rPr>
            </w:pPr>
            <w:r>
              <w:rPr>
                <w:rFonts w:ascii="Calibri" w:eastAsia="Times New Roman" w:hAnsi="Calibri" w:cs="Calibri"/>
                <w:color w:val="000000"/>
                <w:lang w:eastAsia="en-GB"/>
              </w:rPr>
              <w:t>20.19</w:t>
            </w:r>
          </w:p>
        </w:tc>
        <w:tc>
          <w:tcPr>
            <w:tcW w:w="1134" w:type="dxa"/>
            <w:vMerge w:val="restart"/>
            <w:noWrap/>
            <w:vAlign w:val="center"/>
          </w:tcPr>
          <w:p w14:paraId="5127515F" w14:textId="6C1A314A" w:rsidR="00E12D61" w:rsidRPr="00532302" w:rsidRDefault="00E12D61" w:rsidP="00E12D61">
            <w:pPr>
              <w:jc w:val="center"/>
              <w:rPr>
                <w:rFonts w:ascii="Calibri" w:eastAsia="Times New Roman" w:hAnsi="Calibri" w:cs="Calibri"/>
                <w:color w:val="000000"/>
                <w:lang w:eastAsia="en-GB"/>
              </w:rPr>
            </w:pPr>
            <w:r>
              <w:rPr>
                <w:rFonts w:ascii="Calibri" w:eastAsia="Times New Roman" w:hAnsi="Calibri" w:cs="Calibri"/>
                <w:color w:val="000000"/>
                <w:lang w:eastAsia="en-GB"/>
              </w:rPr>
              <w:t>13.8</w:t>
            </w:r>
          </w:p>
        </w:tc>
        <w:tc>
          <w:tcPr>
            <w:tcW w:w="1418" w:type="dxa"/>
          </w:tcPr>
          <w:p w14:paraId="6C6984B2" w14:textId="63555938" w:rsidR="00E12D61" w:rsidRPr="00532302" w:rsidRDefault="00E12D61" w:rsidP="00E916FA">
            <w:pPr>
              <w:jc w:val="center"/>
              <w:rPr>
                <w:rFonts w:ascii="Calibri" w:eastAsia="Times New Roman" w:hAnsi="Calibri" w:cs="Calibri"/>
                <w:color w:val="000000"/>
                <w:lang w:eastAsia="en-GB"/>
              </w:rPr>
            </w:pPr>
            <w:r>
              <w:rPr>
                <w:rFonts w:ascii="Calibri" w:eastAsia="Times New Roman" w:hAnsi="Calibri" w:cs="Calibri"/>
                <w:color w:val="000000"/>
                <w:lang w:eastAsia="en-GB"/>
              </w:rPr>
              <w:t>18.84</w:t>
            </w:r>
          </w:p>
        </w:tc>
        <w:tc>
          <w:tcPr>
            <w:tcW w:w="1134" w:type="dxa"/>
            <w:vMerge w:val="restart"/>
            <w:vAlign w:val="center"/>
          </w:tcPr>
          <w:p w14:paraId="2714A30B" w14:textId="7F2D079F" w:rsidR="00E12D61" w:rsidRDefault="00E12D61" w:rsidP="00E12D61">
            <w:pPr>
              <w:jc w:val="center"/>
              <w:rPr>
                <w:rFonts w:ascii="Calibri" w:eastAsia="Times New Roman" w:hAnsi="Calibri" w:cs="Calibri"/>
                <w:color w:val="000000"/>
                <w:lang w:eastAsia="en-GB"/>
              </w:rPr>
            </w:pPr>
            <w:r>
              <w:rPr>
                <w:rFonts w:ascii="Calibri" w:eastAsia="Times New Roman" w:hAnsi="Calibri" w:cs="Calibri"/>
                <w:color w:val="000000"/>
                <w:lang w:eastAsia="en-GB"/>
              </w:rPr>
              <w:t>10.9</w:t>
            </w:r>
          </w:p>
        </w:tc>
      </w:tr>
      <w:tr w:rsidR="00E12D61" w:rsidRPr="00532302" w14:paraId="20E3B23F" w14:textId="77777777" w:rsidTr="00E12D61">
        <w:trPr>
          <w:trHeight w:val="537"/>
        </w:trPr>
        <w:tc>
          <w:tcPr>
            <w:tcW w:w="1555" w:type="dxa"/>
            <w:noWrap/>
          </w:tcPr>
          <w:p w14:paraId="6FDD5BA3" w14:textId="77777777" w:rsidR="00E12D61" w:rsidRPr="00532302" w:rsidRDefault="00E12D61" w:rsidP="00E916FA">
            <w:pPr>
              <w:rPr>
                <w:rFonts w:ascii="Calibri" w:eastAsia="Times New Roman" w:hAnsi="Calibri" w:cs="Calibri"/>
                <w:color w:val="000000"/>
                <w:lang w:eastAsia="en-GB"/>
              </w:rPr>
            </w:pPr>
          </w:p>
        </w:tc>
        <w:tc>
          <w:tcPr>
            <w:tcW w:w="1275" w:type="dxa"/>
          </w:tcPr>
          <w:p w14:paraId="1A117ED1" w14:textId="53B62F70" w:rsidR="00E12D61" w:rsidRPr="00532302" w:rsidRDefault="00E12D61" w:rsidP="00E916FA">
            <w:pPr>
              <w:rPr>
                <w:rFonts w:ascii="Calibri" w:eastAsia="Times New Roman" w:hAnsi="Calibri" w:cs="Calibri"/>
                <w:color w:val="000000"/>
                <w:lang w:eastAsia="en-GB"/>
              </w:rPr>
            </w:pPr>
            <w:r>
              <w:rPr>
                <w:rFonts w:ascii="Calibri" w:hAnsi="Calibri" w:cs="Calibri"/>
                <w:color w:val="000000"/>
              </w:rPr>
              <w:t>White</w:t>
            </w:r>
          </w:p>
        </w:tc>
        <w:tc>
          <w:tcPr>
            <w:tcW w:w="851" w:type="dxa"/>
            <w:noWrap/>
          </w:tcPr>
          <w:p w14:paraId="2C3AE27B" w14:textId="2122061C" w:rsidR="00E12D61" w:rsidRPr="00532302" w:rsidRDefault="00E12D61" w:rsidP="00E916FA">
            <w:pPr>
              <w:jc w:val="center"/>
              <w:rPr>
                <w:rFonts w:ascii="Calibri" w:eastAsia="Times New Roman" w:hAnsi="Calibri" w:cs="Calibri"/>
                <w:color w:val="000000"/>
                <w:lang w:eastAsia="en-GB"/>
              </w:rPr>
            </w:pPr>
            <w:r>
              <w:rPr>
                <w:rFonts w:ascii="Calibri" w:eastAsia="Times New Roman" w:hAnsi="Calibri" w:cs="Calibri"/>
                <w:color w:val="000000"/>
                <w:lang w:eastAsia="en-GB"/>
              </w:rPr>
              <w:t>2036</w:t>
            </w:r>
          </w:p>
        </w:tc>
        <w:tc>
          <w:tcPr>
            <w:tcW w:w="1417" w:type="dxa"/>
          </w:tcPr>
          <w:p w14:paraId="6A0F5841" w14:textId="32C99A89" w:rsidR="00E12D61" w:rsidRPr="00532302" w:rsidRDefault="00E12D61" w:rsidP="00E916FA">
            <w:pPr>
              <w:jc w:val="center"/>
              <w:rPr>
                <w:rFonts w:ascii="Calibri" w:eastAsia="Times New Roman" w:hAnsi="Calibri" w:cs="Calibri"/>
                <w:color w:val="000000"/>
                <w:lang w:eastAsia="en-GB"/>
              </w:rPr>
            </w:pPr>
            <w:r>
              <w:rPr>
                <w:rFonts w:ascii="Calibri" w:eastAsia="Times New Roman" w:hAnsi="Calibri" w:cs="Calibri"/>
                <w:color w:val="000000"/>
                <w:lang w:eastAsia="en-GB"/>
              </w:rPr>
              <w:t>23.42</w:t>
            </w:r>
          </w:p>
        </w:tc>
        <w:tc>
          <w:tcPr>
            <w:tcW w:w="1134" w:type="dxa"/>
            <w:vMerge/>
            <w:noWrap/>
            <w:vAlign w:val="center"/>
          </w:tcPr>
          <w:p w14:paraId="69B9B211" w14:textId="77777777" w:rsidR="00E12D61" w:rsidRPr="00532302" w:rsidRDefault="00E12D61" w:rsidP="00E12D61">
            <w:pPr>
              <w:jc w:val="center"/>
              <w:rPr>
                <w:rFonts w:ascii="Calibri" w:eastAsia="Times New Roman" w:hAnsi="Calibri" w:cs="Calibri"/>
                <w:color w:val="000000"/>
                <w:lang w:eastAsia="en-GB"/>
              </w:rPr>
            </w:pPr>
          </w:p>
        </w:tc>
        <w:tc>
          <w:tcPr>
            <w:tcW w:w="1418" w:type="dxa"/>
          </w:tcPr>
          <w:p w14:paraId="13F12B11" w14:textId="36352D75" w:rsidR="00E12D61" w:rsidRPr="00532302" w:rsidRDefault="00E12D61" w:rsidP="00E916FA">
            <w:pPr>
              <w:jc w:val="center"/>
              <w:rPr>
                <w:rFonts w:ascii="Calibri" w:eastAsia="Times New Roman" w:hAnsi="Calibri" w:cs="Calibri"/>
                <w:color w:val="000000"/>
                <w:lang w:eastAsia="en-GB"/>
              </w:rPr>
            </w:pPr>
            <w:r>
              <w:rPr>
                <w:rFonts w:ascii="Calibri" w:eastAsia="Times New Roman" w:hAnsi="Calibri" w:cs="Calibri"/>
                <w:color w:val="000000"/>
                <w:lang w:eastAsia="en-GB"/>
              </w:rPr>
              <w:t>21.16</w:t>
            </w:r>
          </w:p>
        </w:tc>
        <w:tc>
          <w:tcPr>
            <w:tcW w:w="1134" w:type="dxa"/>
            <w:vMerge/>
          </w:tcPr>
          <w:p w14:paraId="260DEC71" w14:textId="24B2ECA4" w:rsidR="00E12D61" w:rsidRPr="00532302" w:rsidRDefault="00E12D61" w:rsidP="00E916FA">
            <w:pPr>
              <w:jc w:val="center"/>
              <w:rPr>
                <w:rFonts w:ascii="Calibri" w:eastAsia="Times New Roman" w:hAnsi="Calibri" w:cs="Calibri"/>
                <w:color w:val="000000"/>
                <w:lang w:eastAsia="en-GB"/>
              </w:rPr>
            </w:pPr>
          </w:p>
        </w:tc>
      </w:tr>
      <w:tr w:rsidR="00E12D61" w:rsidRPr="00532302" w14:paraId="2230ED78" w14:textId="77777777" w:rsidTr="00E12D61">
        <w:trPr>
          <w:trHeight w:val="537"/>
        </w:trPr>
        <w:tc>
          <w:tcPr>
            <w:tcW w:w="1555" w:type="dxa"/>
            <w:noWrap/>
          </w:tcPr>
          <w:p w14:paraId="5A39F1CD" w14:textId="2A0C68FC" w:rsidR="00E12D61" w:rsidRPr="00532302" w:rsidRDefault="00E12D61" w:rsidP="00E916FA">
            <w:pPr>
              <w:rPr>
                <w:rFonts w:ascii="Calibri" w:eastAsia="Times New Roman" w:hAnsi="Calibri" w:cs="Calibri"/>
                <w:color w:val="000000"/>
                <w:lang w:eastAsia="en-GB"/>
              </w:rPr>
            </w:pPr>
            <w:r>
              <w:rPr>
                <w:rFonts w:ascii="Calibri" w:eastAsia="Times New Roman" w:hAnsi="Calibri" w:cs="Calibri"/>
                <w:color w:val="000000"/>
                <w:lang w:eastAsia="en-GB"/>
              </w:rPr>
              <w:t>Professional Services</w:t>
            </w:r>
          </w:p>
        </w:tc>
        <w:tc>
          <w:tcPr>
            <w:tcW w:w="1275" w:type="dxa"/>
          </w:tcPr>
          <w:p w14:paraId="7BFE3A48" w14:textId="0F46B887" w:rsidR="00E12D61" w:rsidRPr="00532302" w:rsidRDefault="00E12D61" w:rsidP="00E916FA">
            <w:pPr>
              <w:rPr>
                <w:rFonts w:ascii="Calibri" w:eastAsia="Times New Roman" w:hAnsi="Calibri" w:cs="Calibri"/>
                <w:color w:val="000000"/>
                <w:lang w:eastAsia="en-GB"/>
              </w:rPr>
            </w:pPr>
            <w:r>
              <w:rPr>
                <w:rFonts w:ascii="Calibri" w:hAnsi="Calibri" w:cs="Calibri"/>
                <w:color w:val="000000"/>
              </w:rPr>
              <w:t>Minoritised ethnic</w:t>
            </w:r>
          </w:p>
        </w:tc>
        <w:tc>
          <w:tcPr>
            <w:tcW w:w="851" w:type="dxa"/>
            <w:noWrap/>
          </w:tcPr>
          <w:p w14:paraId="630EE32D" w14:textId="52A04F2A" w:rsidR="00E12D61" w:rsidRPr="00532302" w:rsidRDefault="00E12D61" w:rsidP="00E916FA">
            <w:pPr>
              <w:jc w:val="center"/>
              <w:rPr>
                <w:rFonts w:ascii="Calibri" w:eastAsia="Times New Roman" w:hAnsi="Calibri" w:cs="Calibri"/>
                <w:color w:val="000000"/>
                <w:lang w:eastAsia="en-GB"/>
              </w:rPr>
            </w:pPr>
            <w:r>
              <w:rPr>
                <w:rFonts w:ascii="Calibri" w:eastAsia="Times New Roman" w:hAnsi="Calibri" w:cs="Calibri"/>
                <w:color w:val="000000"/>
                <w:lang w:eastAsia="en-GB"/>
              </w:rPr>
              <w:t>174</w:t>
            </w:r>
          </w:p>
        </w:tc>
        <w:tc>
          <w:tcPr>
            <w:tcW w:w="1417" w:type="dxa"/>
          </w:tcPr>
          <w:p w14:paraId="4D2E1B79" w14:textId="125B87E9" w:rsidR="00E12D61" w:rsidRPr="00532302" w:rsidRDefault="00E12D61" w:rsidP="00E916FA">
            <w:pPr>
              <w:jc w:val="center"/>
              <w:rPr>
                <w:rFonts w:ascii="Calibri" w:eastAsia="Times New Roman" w:hAnsi="Calibri" w:cs="Calibri"/>
                <w:color w:val="000000"/>
                <w:lang w:eastAsia="en-GB"/>
              </w:rPr>
            </w:pPr>
            <w:r>
              <w:rPr>
                <w:rFonts w:ascii="Calibri" w:eastAsia="Times New Roman" w:hAnsi="Calibri" w:cs="Calibri"/>
                <w:color w:val="000000"/>
                <w:lang w:eastAsia="en-GB"/>
              </w:rPr>
              <w:t>14.27</w:t>
            </w:r>
          </w:p>
        </w:tc>
        <w:tc>
          <w:tcPr>
            <w:tcW w:w="1134" w:type="dxa"/>
            <w:vMerge w:val="restart"/>
            <w:noWrap/>
            <w:vAlign w:val="center"/>
          </w:tcPr>
          <w:p w14:paraId="7CE0E0E6" w14:textId="3D5CC318" w:rsidR="00E12D61" w:rsidRPr="00532302" w:rsidRDefault="00E12D61" w:rsidP="00E12D61">
            <w:pPr>
              <w:jc w:val="center"/>
              <w:rPr>
                <w:rFonts w:ascii="Calibri" w:eastAsia="Times New Roman" w:hAnsi="Calibri" w:cs="Calibri"/>
                <w:color w:val="000000"/>
                <w:lang w:eastAsia="en-GB"/>
              </w:rPr>
            </w:pPr>
            <w:r>
              <w:rPr>
                <w:rFonts w:ascii="Calibri" w:eastAsia="Times New Roman" w:hAnsi="Calibri" w:cs="Calibri"/>
                <w:color w:val="000000"/>
                <w:lang w:eastAsia="en-GB"/>
              </w:rPr>
              <w:t>5.0</w:t>
            </w:r>
          </w:p>
        </w:tc>
        <w:tc>
          <w:tcPr>
            <w:tcW w:w="1418" w:type="dxa"/>
          </w:tcPr>
          <w:p w14:paraId="5A20BFA1" w14:textId="56F58D85" w:rsidR="00E12D61" w:rsidRPr="00532302" w:rsidRDefault="00E12D61" w:rsidP="00E916FA">
            <w:pPr>
              <w:jc w:val="center"/>
              <w:rPr>
                <w:rFonts w:ascii="Calibri" w:eastAsia="Times New Roman" w:hAnsi="Calibri" w:cs="Calibri"/>
                <w:color w:val="000000"/>
                <w:lang w:eastAsia="en-GB"/>
              </w:rPr>
            </w:pPr>
            <w:r>
              <w:rPr>
                <w:rFonts w:ascii="Calibri" w:eastAsia="Times New Roman" w:hAnsi="Calibri" w:cs="Calibri"/>
                <w:color w:val="000000"/>
                <w:lang w:eastAsia="en-GB"/>
              </w:rPr>
              <w:t>13.64</w:t>
            </w:r>
          </w:p>
        </w:tc>
        <w:tc>
          <w:tcPr>
            <w:tcW w:w="1134" w:type="dxa"/>
            <w:vMerge w:val="restart"/>
            <w:vAlign w:val="center"/>
          </w:tcPr>
          <w:p w14:paraId="356468DE" w14:textId="531F8541" w:rsidR="00E12D61" w:rsidRDefault="00E12D61" w:rsidP="00E12D61">
            <w:pPr>
              <w:jc w:val="center"/>
              <w:rPr>
                <w:rFonts w:ascii="Calibri" w:eastAsia="Times New Roman" w:hAnsi="Calibri" w:cs="Calibri"/>
                <w:color w:val="000000"/>
                <w:lang w:eastAsia="en-GB"/>
              </w:rPr>
            </w:pPr>
            <w:r>
              <w:rPr>
                <w:rFonts w:ascii="Calibri" w:eastAsia="Times New Roman" w:hAnsi="Calibri" w:cs="Calibri"/>
                <w:color w:val="000000"/>
                <w:lang w:eastAsia="en-GB"/>
              </w:rPr>
              <w:t>0.0</w:t>
            </w:r>
          </w:p>
        </w:tc>
      </w:tr>
      <w:tr w:rsidR="00E12D61" w:rsidRPr="00532302" w14:paraId="0AC8068B" w14:textId="77777777" w:rsidTr="00E12D61">
        <w:trPr>
          <w:trHeight w:val="537"/>
        </w:trPr>
        <w:tc>
          <w:tcPr>
            <w:tcW w:w="1555" w:type="dxa"/>
            <w:noWrap/>
          </w:tcPr>
          <w:p w14:paraId="4A12DB40" w14:textId="77777777" w:rsidR="00E12D61" w:rsidRPr="00532302" w:rsidRDefault="00E12D61" w:rsidP="00E916FA">
            <w:pPr>
              <w:rPr>
                <w:rFonts w:ascii="Calibri" w:eastAsia="Times New Roman" w:hAnsi="Calibri" w:cs="Calibri"/>
                <w:color w:val="000000"/>
                <w:lang w:eastAsia="en-GB"/>
              </w:rPr>
            </w:pPr>
          </w:p>
        </w:tc>
        <w:tc>
          <w:tcPr>
            <w:tcW w:w="1275" w:type="dxa"/>
          </w:tcPr>
          <w:p w14:paraId="50720B1A" w14:textId="2721C88B" w:rsidR="00E12D61" w:rsidRPr="00532302" w:rsidRDefault="00E12D61" w:rsidP="00E916FA">
            <w:pPr>
              <w:rPr>
                <w:rFonts w:ascii="Calibri" w:eastAsia="Times New Roman" w:hAnsi="Calibri" w:cs="Calibri"/>
                <w:color w:val="000000"/>
                <w:lang w:eastAsia="en-GB"/>
              </w:rPr>
            </w:pPr>
            <w:r>
              <w:rPr>
                <w:rFonts w:ascii="Calibri" w:hAnsi="Calibri" w:cs="Calibri"/>
                <w:color w:val="000000"/>
              </w:rPr>
              <w:t>White</w:t>
            </w:r>
          </w:p>
        </w:tc>
        <w:tc>
          <w:tcPr>
            <w:tcW w:w="851" w:type="dxa"/>
            <w:noWrap/>
          </w:tcPr>
          <w:p w14:paraId="4220D104" w14:textId="6922A321" w:rsidR="00E12D61" w:rsidRPr="00532302" w:rsidRDefault="00E12D61" w:rsidP="00E916FA">
            <w:pPr>
              <w:jc w:val="center"/>
              <w:rPr>
                <w:rFonts w:ascii="Calibri" w:eastAsia="Times New Roman" w:hAnsi="Calibri" w:cs="Calibri"/>
                <w:color w:val="000000"/>
                <w:lang w:eastAsia="en-GB"/>
              </w:rPr>
            </w:pPr>
            <w:r>
              <w:rPr>
                <w:rFonts w:ascii="Calibri" w:eastAsia="Times New Roman" w:hAnsi="Calibri" w:cs="Calibri"/>
                <w:color w:val="000000"/>
                <w:lang w:eastAsia="en-GB"/>
              </w:rPr>
              <w:t>3202</w:t>
            </w:r>
          </w:p>
        </w:tc>
        <w:tc>
          <w:tcPr>
            <w:tcW w:w="1417" w:type="dxa"/>
          </w:tcPr>
          <w:p w14:paraId="7FFF67DB" w14:textId="5AD98500" w:rsidR="00E12D61" w:rsidRPr="00532302" w:rsidRDefault="00E12D61" w:rsidP="00E916FA">
            <w:pPr>
              <w:jc w:val="center"/>
              <w:rPr>
                <w:rFonts w:ascii="Calibri" w:eastAsia="Times New Roman" w:hAnsi="Calibri" w:cs="Calibri"/>
                <w:color w:val="000000"/>
                <w:lang w:eastAsia="en-GB"/>
              </w:rPr>
            </w:pPr>
            <w:r>
              <w:rPr>
                <w:rFonts w:ascii="Calibri" w:eastAsia="Times New Roman" w:hAnsi="Calibri" w:cs="Calibri"/>
                <w:color w:val="000000"/>
                <w:lang w:eastAsia="en-GB"/>
              </w:rPr>
              <w:t>15.03</w:t>
            </w:r>
          </w:p>
        </w:tc>
        <w:tc>
          <w:tcPr>
            <w:tcW w:w="1134" w:type="dxa"/>
            <w:vMerge/>
            <w:noWrap/>
          </w:tcPr>
          <w:p w14:paraId="044041DC" w14:textId="77777777" w:rsidR="00E12D61" w:rsidRPr="00532302" w:rsidRDefault="00E12D61" w:rsidP="00E916FA">
            <w:pPr>
              <w:jc w:val="center"/>
              <w:rPr>
                <w:rFonts w:ascii="Calibri" w:eastAsia="Times New Roman" w:hAnsi="Calibri" w:cs="Calibri"/>
                <w:color w:val="000000"/>
                <w:lang w:eastAsia="en-GB"/>
              </w:rPr>
            </w:pPr>
          </w:p>
        </w:tc>
        <w:tc>
          <w:tcPr>
            <w:tcW w:w="1418" w:type="dxa"/>
          </w:tcPr>
          <w:p w14:paraId="302B4DCB" w14:textId="5D2E551B" w:rsidR="00E12D61" w:rsidRPr="00532302" w:rsidRDefault="00E12D61" w:rsidP="00E916FA">
            <w:pPr>
              <w:jc w:val="center"/>
              <w:rPr>
                <w:rFonts w:ascii="Calibri" w:eastAsia="Times New Roman" w:hAnsi="Calibri" w:cs="Calibri"/>
                <w:color w:val="000000"/>
                <w:lang w:eastAsia="en-GB"/>
              </w:rPr>
            </w:pPr>
            <w:r>
              <w:rPr>
                <w:rFonts w:ascii="Calibri" w:eastAsia="Times New Roman" w:hAnsi="Calibri" w:cs="Calibri"/>
                <w:color w:val="000000"/>
                <w:lang w:eastAsia="en-GB"/>
              </w:rPr>
              <w:t>13.64</w:t>
            </w:r>
          </w:p>
        </w:tc>
        <w:tc>
          <w:tcPr>
            <w:tcW w:w="1134" w:type="dxa"/>
            <w:vMerge/>
          </w:tcPr>
          <w:p w14:paraId="0854396B" w14:textId="18215DFE" w:rsidR="00E12D61" w:rsidRPr="00532302" w:rsidRDefault="00E12D61" w:rsidP="00E916FA">
            <w:pPr>
              <w:jc w:val="center"/>
              <w:rPr>
                <w:rFonts w:ascii="Calibri" w:eastAsia="Times New Roman" w:hAnsi="Calibri" w:cs="Calibri"/>
                <w:color w:val="000000"/>
                <w:lang w:eastAsia="en-GB"/>
              </w:rPr>
            </w:pPr>
          </w:p>
        </w:tc>
      </w:tr>
    </w:tbl>
    <w:p w14:paraId="783DE841" w14:textId="77777777" w:rsidR="00E916FA" w:rsidRDefault="00E916FA" w:rsidP="006B569A">
      <w:pPr>
        <w:spacing w:after="200" w:line="276" w:lineRule="auto"/>
        <w:rPr>
          <w:rFonts w:ascii="Calibri" w:eastAsia="Calibri" w:hAnsi="Calibri" w:cs="Calibri"/>
          <w:color w:val="000000" w:themeColor="text1"/>
        </w:rPr>
      </w:pPr>
    </w:p>
    <w:p w14:paraId="5DD4B8FD" w14:textId="50861E2A" w:rsidR="006B569A" w:rsidRPr="006B569A" w:rsidRDefault="006B569A" w:rsidP="006B569A">
      <w:pPr>
        <w:spacing w:after="200" w:line="276" w:lineRule="auto"/>
        <w:rPr>
          <w:rFonts w:ascii="Calibri" w:eastAsia="Calibri" w:hAnsi="Calibri" w:cs="Calibri"/>
          <w:color w:val="000000" w:themeColor="text1"/>
        </w:rPr>
      </w:pPr>
      <w:r w:rsidRPr="006B569A">
        <w:rPr>
          <w:rFonts w:ascii="Calibri" w:eastAsia="Calibri" w:hAnsi="Calibri" w:cs="Calibri"/>
          <w:color w:val="000000" w:themeColor="text1"/>
        </w:rPr>
        <w:t>Due to the imbalance in representation of colleagues from minoritised ethnic backgrounds across our two major occupational groupings – PS and academic - the overall ethnicity pay gap is not a meaningful indicator of racial equality in our context. Colleagues from minoritised ethnic backgrounds were better represented among academics, than PS colleagues, PS colleagues have a lower average salary than academics. This results in an overall higher average salary among colleagues from minoritised ethnic backgrounds than white colleagues</w:t>
      </w:r>
      <w:r w:rsidR="00DC6B4B">
        <w:rPr>
          <w:rFonts w:ascii="Calibri" w:eastAsia="Calibri" w:hAnsi="Calibri" w:cs="Calibri"/>
          <w:color w:val="000000" w:themeColor="text1"/>
        </w:rPr>
        <w:t>.</w:t>
      </w:r>
      <w:r w:rsidRPr="006B569A">
        <w:rPr>
          <w:rFonts w:ascii="Calibri" w:eastAsia="Calibri" w:hAnsi="Calibri" w:cs="Calibri"/>
          <w:color w:val="000000" w:themeColor="text1"/>
        </w:rPr>
        <w:t xml:space="preserve"> </w:t>
      </w:r>
    </w:p>
    <w:p w14:paraId="67CD8232" w14:textId="44C9BD18" w:rsidR="006B569A" w:rsidRPr="00A3227B" w:rsidRDefault="006B569A" w:rsidP="006B569A">
      <w:pPr>
        <w:spacing w:after="200" w:line="276" w:lineRule="auto"/>
        <w:rPr>
          <w:rFonts w:eastAsiaTheme="minorEastAsia"/>
          <w:color w:val="000000" w:themeColor="text1"/>
        </w:rPr>
      </w:pPr>
      <w:r w:rsidRPr="006B569A">
        <w:rPr>
          <w:rFonts w:ascii="Calibri" w:eastAsia="Calibri" w:hAnsi="Calibri" w:cs="Calibri"/>
          <w:color w:val="000000" w:themeColor="text1"/>
        </w:rPr>
        <w:t xml:space="preserve">When we look at the ethnicity pay gap by occupational grouping, academic shows a median pay gap of 12% in favour of white colleagues and non-clinical academics shows a median of 10.9% in favour </w:t>
      </w:r>
      <w:r w:rsidRPr="006B569A">
        <w:rPr>
          <w:rFonts w:ascii="Calibri" w:eastAsia="Calibri" w:hAnsi="Calibri" w:cs="Calibri"/>
          <w:color w:val="000000" w:themeColor="text1"/>
        </w:rPr>
        <w:lastRenderedPageBreak/>
        <w:t>of white colleagues. PS shows a 0% ethnicity pay gap. This is also true for the mean ethnicity pay gap which shows a gap of 13.9% in favour of white academics and 13.8% for non-clinical academics in favour of white colleagues. For PS, the mean ethnicity pay gap is 5% in favour of white colleagues.</w:t>
      </w:r>
      <w:bookmarkEnd w:id="221"/>
    </w:p>
    <w:p w14:paraId="55A4C102" w14:textId="65AFACF0" w:rsidR="006B569A" w:rsidRDefault="006B569A" w:rsidP="006B569A">
      <w:pPr>
        <w:pStyle w:val="Heading3"/>
        <w:rPr>
          <w:rFonts w:ascii="Calibri Light" w:eastAsia="Calibri Light" w:hAnsi="Calibri Light" w:cs="Calibri Light"/>
          <w:color w:val="1F4D78"/>
        </w:rPr>
      </w:pPr>
      <w:r>
        <w:rPr>
          <w:rFonts w:ascii="Calibri Light" w:eastAsia="Calibri Light" w:hAnsi="Calibri Light" w:cs="Calibri Light"/>
          <w:b/>
          <w:bCs/>
          <w:color w:val="1F4D78"/>
        </w:rPr>
        <w:t>Disability Pay Gap</w:t>
      </w:r>
    </w:p>
    <w:p w14:paraId="397B5928" w14:textId="255BE4DA" w:rsidR="0070439E" w:rsidRPr="00A3227B" w:rsidRDefault="0070439E" w:rsidP="0070439E">
      <w:pPr>
        <w:rPr>
          <w:rFonts w:ascii="Calibri" w:eastAsia="Calibri" w:hAnsi="Calibri" w:cs="Calibri"/>
          <w:color w:val="000000" w:themeColor="text1"/>
        </w:rPr>
      </w:pPr>
      <w:r w:rsidRPr="0070439E">
        <w:rPr>
          <w:rFonts w:ascii="Calibri" w:eastAsia="Calibri" w:hAnsi="Calibri" w:cs="Calibri"/>
          <w:b/>
          <w:bCs/>
          <w:color w:val="000000" w:themeColor="text1"/>
        </w:rPr>
        <w:t xml:space="preserve">Table: </w:t>
      </w:r>
      <w:r w:rsidRPr="0070439E">
        <w:rPr>
          <w:b/>
          <w:bCs/>
        </w:rPr>
        <w:t>Overall</w:t>
      </w:r>
      <w:r w:rsidRPr="00997B44">
        <w:rPr>
          <w:b/>
          <w:bCs/>
        </w:rPr>
        <w:t xml:space="preserve"> mean and median </w:t>
      </w:r>
      <w:r>
        <w:rPr>
          <w:b/>
          <w:bCs/>
        </w:rPr>
        <w:t>disability</w:t>
      </w:r>
      <w:r w:rsidRPr="00997B44">
        <w:rPr>
          <w:b/>
          <w:bCs/>
        </w:rPr>
        <w:t xml:space="preserve"> pay gaps</w:t>
      </w:r>
      <w:r>
        <w:rPr>
          <w:b/>
          <w:bCs/>
        </w:rPr>
        <w:t xml:space="preserve"> </w:t>
      </w:r>
      <w:r w:rsidRPr="00997B44">
        <w:rPr>
          <w:b/>
          <w:bCs/>
        </w:rPr>
        <w:t>20</w:t>
      </w:r>
      <w:r>
        <w:rPr>
          <w:b/>
          <w:bCs/>
        </w:rPr>
        <w:t>22 and change since 2021.</w:t>
      </w:r>
    </w:p>
    <w:tbl>
      <w:tblPr>
        <w:tblStyle w:val="TableGrid"/>
        <w:tblW w:w="0" w:type="auto"/>
        <w:tblLayout w:type="fixed"/>
        <w:tblLook w:val="04A0" w:firstRow="1" w:lastRow="0" w:firstColumn="1" w:lastColumn="0" w:noHBand="0" w:noVBand="1"/>
      </w:tblPr>
      <w:tblGrid>
        <w:gridCol w:w="1555"/>
        <w:gridCol w:w="708"/>
        <w:gridCol w:w="993"/>
        <w:gridCol w:w="934"/>
        <w:gridCol w:w="1051"/>
        <w:gridCol w:w="1498"/>
        <w:gridCol w:w="1336"/>
        <w:gridCol w:w="940"/>
      </w:tblGrid>
      <w:tr w:rsidR="00E12D61" w:rsidRPr="00A3227B" w14:paraId="065A81F0" w14:textId="77777777" w:rsidTr="00E12D61">
        <w:trPr>
          <w:trHeight w:val="570"/>
        </w:trPr>
        <w:tc>
          <w:tcPr>
            <w:tcW w:w="1555" w:type="dxa"/>
          </w:tcPr>
          <w:p w14:paraId="69A86D04" w14:textId="0524C4F2" w:rsidR="00E12D61" w:rsidRPr="00532302" w:rsidRDefault="00E12D61" w:rsidP="00B57560">
            <w:pPr>
              <w:rPr>
                <w:rFonts w:ascii="Calibri" w:eastAsia="Calibri" w:hAnsi="Calibri" w:cs="Calibri"/>
                <w:b/>
                <w:bCs/>
                <w:color w:val="000000" w:themeColor="text1"/>
              </w:rPr>
            </w:pPr>
          </w:p>
        </w:tc>
        <w:tc>
          <w:tcPr>
            <w:tcW w:w="708" w:type="dxa"/>
          </w:tcPr>
          <w:p w14:paraId="7D6B223E" w14:textId="4A203803" w:rsidR="00E12D61" w:rsidRPr="00532302" w:rsidRDefault="00E12D61" w:rsidP="00B57560">
            <w:pPr>
              <w:jc w:val="center"/>
              <w:rPr>
                <w:rFonts w:ascii="Calibri" w:eastAsia="Calibri" w:hAnsi="Calibri" w:cs="Calibri"/>
                <w:color w:val="000000" w:themeColor="text1"/>
              </w:rPr>
            </w:pPr>
            <w:r>
              <w:rPr>
                <w:rFonts w:ascii="Calibri" w:eastAsia="Calibri" w:hAnsi="Calibri" w:cs="Calibri"/>
                <w:b/>
                <w:bCs/>
                <w:color w:val="000000" w:themeColor="text1"/>
              </w:rPr>
              <w:t>No</w:t>
            </w:r>
          </w:p>
        </w:tc>
        <w:tc>
          <w:tcPr>
            <w:tcW w:w="993" w:type="dxa"/>
          </w:tcPr>
          <w:p w14:paraId="120DA507" w14:textId="77777777" w:rsidR="00E12D61" w:rsidRPr="00532302" w:rsidRDefault="00E12D61" w:rsidP="00B57560">
            <w:pPr>
              <w:jc w:val="center"/>
              <w:rPr>
                <w:rFonts w:ascii="Calibri" w:eastAsia="Calibri" w:hAnsi="Calibri" w:cs="Calibri"/>
                <w:color w:val="000000" w:themeColor="text1"/>
              </w:rPr>
            </w:pPr>
            <w:r w:rsidRPr="00532302">
              <w:rPr>
                <w:rFonts w:ascii="Calibri" w:eastAsia="Calibri" w:hAnsi="Calibri" w:cs="Calibri"/>
                <w:b/>
                <w:bCs/>
                <w:color w:val="000000" w:themeColor="text1"/>
              </w:rPr>
              <w:t xml:space="preserve">Hourly mean </w:t>
            </w:r>
            <w:proofErr w:type="gramStart"/>
            <w:r w:rsidRPr="00532302">
              <w:rPr>
                <w:rFonts w:ascii="Calibri" w:eastAsia="Calibri" w:hAnsi="Calibri" w:cs="Calibri"/>
                <w:b/>
                <w:bCs/>
                <w:color w:val="000000" w:themeColor="text1"/>
              </w:rPr>
              <w:t>pay</w:t>
            </w:r>
            <w:proofErr w:type="gramEnd"/>
            <w:r w:rsidRPr="00532302">
              <w:rPr>
                <w:rFonts w:ascii="Calibri" w:eastAsia="Calibri" w:hAnsi="Calibri" w:cs="Calibri"/>
                <w:b/>
                <w:bCs/>
                <w:color w:val="000000" w:themeColor="text1"/>
              </w:rPr>
              <w:t xml:space="preserve"> £</w:t>
            </w:r>
          </w:p>
        </w:tc>
        <w:tc>
          <w:tcPr>
            <w:tcW w:w="934" w:type="dxa"/>
          </w:tcPr>
          <w:p w14:paraId="3080C4CD" w14:textId="77777777" w:rsidR="00E12D61" w:rsidRPr="00532302" w:rsidRDefault="00E12D61" w:rsidP="00B57560">
            <w:pPr>
              <w:jc w:val="center"/>
              <w:rPr>
                <w:rFonts w:ascii="Calibri" w:eastAsia="Calibri" w:hAnsi="Calibri" w:cs="Calibri"/>
                <w:color w:val="000000" w:themeColor="text1"/>
              </w:rPr>
            </w:pPr>
            <w:r w:rsidRPr="00532302">
              <w:rPr>
                <w:rFonts w:ascii="Calibri" w:eastAsia="Calibri" w:hAnsi="Calibri" w:cs="Calibri"/>
                <w:b/>
                <w:bCs/>
                <w:color w:val="000000" w:themeColor="text1"/>
              </w:rPr>
              <w:t>Mean Pay Gap (%)</w:t>
            </w:r>
          </w:p>
        </w:tc>
        <w:tc>
          <w:tcPr>
            <w:tcW w:w="1051" w:type="dxa"/>
          </w:tcPr>
          <w:p w14:paraId="570ABC58" w14:textId="77777777" w:rsidR="00E12D61" w:rsidRPr="00532302" w:rsidRDefault="00E12D61" w:rsidP="00B57560">
            <w:pPr>
              <w:jc w:val="center"/>
              <w:rPr>
                <w:rFonts w:ascii="Calibri" w:eastAsia="Calibri" w:hAnsi="Calibri" w:cs="Calibri"/>
                <w:color w:val="000000" w:themeColor="text1"/>
              </w:rPr>
            </w:pPr>
            <w:r w:rsidRPr="00532302">
              <w:rPr>
                <w:rFonts w:ascii="Calibri" w:eastAsia="Calibri" w:hAnsi="Calibri" w:cs="Calibri"/>
                <w:b/>
                <w:bCs/>
                <w:color w:val="000000" w:themeColor="text1"/>
              </w:rPr>
              <w:t>Change %</w:t>
            </w:r>
          </w:p>
        </w:tc>
        <w:tc>
          <w:tcPr>
            <w:tcW w:w="1498" w:type="dxa"/>
          </w:tcPr>
          <w:p w14:paraId="51E86DEF" w14:textId="77777777" w:rsidR="00E12D61" w:rsidRPr="00532302" w:rsidRDefault="00E12D61" w:rsidP="00B57560">
            <w:pPr>
              <w:jc w:val="center"/>
              <w:rPr>
                <w:rFonts w:ascii="Calibri" w:eastAsia="Calibri" w:hAnsi="Calibri" w:cs="Calibri"/>
                <w:color w:val="000000" w:themeColor="text1"/>
              </w:rPr>
            </w:pPr>
            <w:r w:rsidRPr="00532302">
              <w:rPr>
                <w:rFonts w:ascii="Calibri" w:eastAsia="Calibri" w:hAnsi="Calibri" w:cs="Calibri"/>
                <w:b/>
                <w:bCs/>
                <w:color w:val="000000" w:themeColor="text1"/>
              </w:rPr>
              <w:t>Hourly median pay £</w:t>
            </w:r>
          </w:p>
        </w:tc>
        <w:tc>
          <w:tcPr>
            <w:tcW w:w="1336" w:type="dxa"/>
          </w:tcPr>
          <w:p w14:paraId="5CCE4E3A" w14:textId="77777777" w:rsidR="00E12D61" w:rsidRPr="00532302" w:rsidRDefault="00E12D61" w:rsidP="00B57560">
            <w:pPr>
              <w:jc w:val="center"/>
              <w:rPr>
                <w:rFonts w:ascii="Calibri" w:eastAsia="Calibri" w:hAnsi="Calibri" w:cs="Calibri"/>
                <w:color w:val="000000" w:themeColor="text1"/>
              </w:rPr>
            </w:pPr>
            <w:r w:rsidRPr="00532302">
              <w:rPr>
                <w:rFonts w:ascii="Calibri" w:eastAsia="Calibri" w:hAnsi="Calibri" w:cs="Calibri"/>
                <w:b/>
                <w:bCs/>
                <w:color w:val="000000" w:themeColor="text1"/>
              </w:rPr>
              <w:t>Median pay gap (%)</w:t>
            </w:r>
          </w:p>
        </w:tc>
        <w:tc>
          <w:tcPr>
            <w:tcW w:w="940" w:type="dxa"/>
          </w:tcPr>
          <w:p w14:paraId="719BF031" w14:textId="77777777" w:rsidR="00E12D61" w:rsidRPr="00532302" w:rsidRDefault="00E12D61" w:rsidP="00B57560">
            <w:pPr>
              <w:jc w:val="center"/>
              <w:rPr>
                <w:rFonts w:ascii="Calibri" w:eastAsia="Calibri" w:hAnsi="Calibri" w:cs="Calibri"/>
                <w:color w:val="000000" w:themeColor="text1"/>
              </w:rPr>
            </w:pPr>
            <w:r w:rsidRPr="00532302">
              <w:rPr>
                <w:rFonts w:ascii="Calibri" w:eastAsia="Calibri" w:hAnsi="Calibri" w:cs="Calibri"/>
                <w:b/>
                <w:bCs/>
                <w:color w:val="000000" w:themeColor="text1"/>
              </w:rPr>
              <w:t>Change %</w:t>
            </w:r>
          </w:p>
        </w:tc>
      </w:tr>
      <w:tr w:rsidR="00E12D61" w:rsidRPr="00A3227B" w14:paraId="730F4E1F" w14:textId="77777777" w:rsidTr="00E12D61">
        <w:trPr>
          <w:trHeight w:val="585"/>
        </w:trPr>
        <w:tc>
          <w:tcPr>
            <w:tcW w:w="1555" w:type="dxa"/>
          </w:tcPr>
          <w:p w14:paraId="59378AA9" w14:textId="3C6C446F" w:rsidR="00E12D61" w:rsidRPr="00532302" w:rsidRDefault="00E12D61" w:rsidP="00B57560">
            <w:pPr>
              <w:rPr>
                <w:rFonts w:ascii="Calibri" w:eastAsia="Calibri" w:hAnsi="Calibri" w:cs="Calibri"/>
                <w:color w:val="000000" w:themeColor="text1"/>
              </w:rPr>
            </w:pPr>
            <w:r>
              <w:rPr>
                <w:rFonts w:ascii="Calibri" w:eastAsia="Calibri" w:hAnsi="Calibri" w:cs="Calibri"/>
                <w:color w:val="000000" w:themeColor="text1"/>
              </w:rPr>
              <w:t>Disabled</w:t>
            </w:r>
          </w:p>
        </w:tc>
        <w:tc>
          <w:tcPr>
            <w:tcW w:w="708" w:type="dxa"/>
          </w:tcPr>
          <w:p w14:paraId="42CF5142" w14:textId="0503B288" w:rsidR="00E12D61" w:rsidRPr="00532302" w:rsidRDefault="00E12D61" w:rsidP="00B57560">
            <w:pPr>
              <w:jc w:val="right"/>
              <w:rPr>
                <w:rFonts w:ascii="Calibri" w:eastAsia="Calibri" w:hAnsi="Calibri" w:cs="Calibri"/>
                <w:color w:val="000000" w:themeColor="text1"/>
              </w:rPr>
            </w:pPr>
            <w:r>
              <w:rPr>
                <w:rFonts w:ascii="Calibri" w:eastAsia="Calibri" w:hAnsi="Calibri" w:cs="Calibri"/>
                <w:color w:val="000000" w:themeColor="text1"/>
              </w:rPr>
              <w:t>262</w:t>
            </w:r>
          </w:p>
        </w:tc>
        <w:tc>
          <w:tcPr>
            <w:tcW w:w="993" w:type="dxa"/>
          </w:tcPr>
          <w:p w14:paraId="266D1EFB" w14:textId="6AE24126" w:rsidR="00E12D61" w:rsidRPr="00532302" w:rsidRDefault="00E12D61" w:rsidP="00B57560">
            <w:pPr>
              <w:jc w:val="right"/>
              <w:rPr>
                <w:rFonts w:ascii="Calibri" w:eastAsia="Calibri" w:hAnsi="Calibri" w:cs="Calibri"/>
                <w:color w:val="000000" w:themeColor="text1"/>
              </w:rPr>
            </w:pPr>
            <w:r w:rsidRPr="00E12D61">
              <w:rPr>
                <w:rFonts w:ascii="Calibri" w:eastAsia="Calibri" w:hAnsi="Calibri" w:cs="Calibri"/>
                <w:color w:val="000000" w:themeColor="text1"/>
              </w:rPr>
              <w:t>£17.09</w:t>
            </w:r>
          </w:p>
        </w:tc>
        <w:tc>
          <w:tcPr>
            <w:tcW w:w="934" w:type="dxa"/>
          </w:tcPr>
          <w:p w14:paraId="434A3A08" w14:textId="7C4C2003" w:rsidR="00E12D61" w:rsidRPr="00E12D61" w:rsidRDefault="00E12D61" w:rsidP="00B57560">
            <w:pPr>
              <w:jc w:val="right"/>
              <w:rPr>
                <w:rFonts w:ascii="Calibri" w:eastAsia="Calibri" w:hAnsi="Calibri" w:cs="Calibri"/>
                <w:b/>
                <w:bCs/>
                <w:color w:val="000000" w:themeColor="text1"/>
              </w:rPr>
            </w:pPr>
            <w:r w:rsidRPr="00E12D61">
              <w:rPr>
                <w:rFonts w:ascii="Calibri" w:eastAsia="Calibri" w:hAnsi="Calibri" w:cs="Calibri"/>
                <w:b/>
                <w:bCs/>
                <w:color w:val="000000" w:themeColor="text1"/>
              </w:rPr>
              <w:t>+12.9%</w:t>
            </w:r>
          </w:p>
        </w:tc>
        <w:tc>
          <w:tcPr>
            <w:tcW w:w="1051" w:type="dxa"/>
          </w:tcPr>
          <w:p w14:paraId="11A11D40" w14:textId="2D9F5930" w:rsidR="00E12D61" w:rsidRPr="00532302" w:rsidRDefault="00E12D61" w:rsidP="00B57560">
            <w:pPr>
              <w:jc w:val="right"/>
              <w:rPr>
                <w:rFonts w:ascii="Calibri" w:eastAsia="Calibri" w:hAnsi="Calibri" w:cs="Calibri"/>
                <w:color w:val="000000" w:themeColor="text1"/>
              </w:rPr>
            </w:pPr>
            <w:r>
              <w:rPr>
                <w:rFonts w:ascii="Calibri" w:eastAsia="Calibri" w:hAnsi="Calibri" w:cs="Calibri"/>
                <w:color w:val="000000" w:themeColor="text1"/>
              </w:rPr>
              <w:t>-0.2%</w:t>
            </w:r>
          </w:p>
        </w:tc>
        <w:tc>
          <w:tcPr>
            <w:tcW w:w="1498" w:type="dxa"/>
          </w:tcPr>
          <w:p w14:paraId="6CEBD9A5" w14:textId="2FFFB46A" w:rsidR="00E12D61" w:rsidRPr="00532302" w:rsidRDefault="00E12D61" w:rsidP="00B57560">
            <w:pPr>
              <w:jc w:val="right"/>
              <w:rPr>
                <w:rFonts w:ascii="Calibri" w:eastAsia="Calibri" w:hAnsi="Calibri" w:cs="Calibri"/>
                <w:color w:val="000000" w:themeColor="text1"/>
              </w:rPr>
            </w:pPr>
            <w:r w:rsidRPr="00E12D61">
              <w:rPr>
                <w:rFonts w:ascii="Calibri" w:eastAsia="Calibri" w:hAnsi="Calibri" w:cs="Calibri"/>
                <w:color w:val="000000" w:themeColor="text1"/>
              </w:rPr>
              <w:t>£15.82</w:t>
            </w:r>
          </w:p>
        </w:tc>
        <w:tc>
          <w:tcPr>
            <w:tcW w:w="1336" w:type="dxa"/>
          </w:tcPr>
          <w:p w14:paraId="2F096E07" w14:textId="14E27A47" w:rsidR="00E12D61" w:rsidRPr="00E12D61" w:rsidRDefault="00E12D61" w:rsidP="00B57560">
            <w:pPr>
              <w:jc w:val="right"/>
              <w:rPr>
                <w:rFonts w:ascii="Calibri" w:eastAsia="Calibri" w:hAnsi="Calibri" w:cs="Calibri"/>
                <w:b/>
                <w:bCs/>
                <w:color w:val="000000" w:themeColor="text1"/>
              </w:rPr>
            </w:pPr>
            <w:r w:rsidRPr="00E12D61">
              <w:rPr>
                <w:rFonts w:ascii="Calibri" w:eastAsia="Calibri" w:hAnsi="Calibri" w:cs="Calibri"/>
                <w:b/>
                <w:bCs/>
                <w:color w:val="000000" w:themeColor="text1"/>
              </w:rPr>
              <w:t>+8.3%</w:t>
            </w:r>
          </w:p>
        </w:tc>
        <w:tc>
          <w:tcPr>
            <w:tcW w:w="940" w:type="dxa"/>
          </w:tcPr>
          <w:p w14:paraId="17CEC95A" w14:textId="48D07598" w:rsidR="00E12D61" w:rsidRPr="00532302" w:rsidRDefault="00E12D61" w:rsidP="00B57560">
            <w:pPr>
              <w:jc w:val="right"/>
              <w:rPr>
                <w:rFonts w:ascii="Calibri" w:eastAsia="Calibri" w:hAnsi="Calibri" w:cs="Calibri"/>
                <w:color w:val="000000" w:themeColor="text1"/>
              </w:rPr>
            </w:pPr>
            <w:r>
              <w:rPr>
                <w:rFonts w:ascii="Calibri" w:eastAsia="Calibri" w:hAnsi="Calibri" w:cs="Calibri"/>
                <w:color w:val="000000" w:themeColor="text1"/>
              </w:rPr>
              <w:t>-2.8%</w:t>
            </w:r>
          </w:p>
        </w:tc>
      </w:tr>
      <w:tr w:rsidR="00E12D61" w14:paraId="49FA1265" w14:textId="77777777" w:rsidTr="00E12D61">
        <w:trPr>
          <w:trHeight w:val="480"/>
        </w:trPr>
        <w:tc>
          <w:tcPr>
            <w:tcW w:w="1555" w:type="dxa"/>
          </w:tcPr>
          <w:p w14:paraId="2D34DF98" w14:textId="1F100235" w:rsidR="00E12D61" w:rsidRPr="00532302" w:rsidRDefault="00E12D61" w:rsidP="00B57560">
            <w:pPr>
              <w:rPr>
                <w:rFonts w:ascii="Calibri" w:eastAsia="Calibri" w:hAnsi="Calibri" w:cs="Calibri"/>
                <w:color w:val="000000" w:themeColor="text1"/>
              </w:rPr>
            </w:pPr>
            <w:r>
              <w:rPr>
                <w:rFonts w:ascii="Calibri" w:eastAsia="Calibri" w:hAnsi="Calibri" w:cs="Calibri"/>
                <w:color w:val="000000" w:themeColor="text1"/>
              </w:rPr>
              <w:t>Non-disabled</w:t>
            </w:r>
          </w:p>
        </w:tc>
        <w:tc>
          <w:tcPr>
            <w:tcW w:w="708" w:type="dxa"/>
          </w:tcPr>
          <w:p w14:paraId="60728616" w14:textId="0001F06A" w:rsidR="00E12D61" w:rsidRPr="00532302" w:rsidRDefault="00E12D61" w:rsidP="00B57560">
            <w:pPr>
              <w:jc w:val="right"/>
              <w:rPr>
                <w:rFonts w:ascii="Calibri" w:eastAsia="Calibri" w:hAnsi="Calibri" w:cs="Calibri"/>
                <w:color w:val="000000" w:themeColor="text1"/>
              </w:rPr>
            </w:pPr>
            <w:r>
              <w:rPr>
                <w:rFonts w:ascii="Calibri" w:eastAsia="Calibri" w:hAnsi="Calibri" w:cs="Calibri"/>
                <w:color w:val="000000" w:themeColor="text1"/>
              </w:rPr>
              <w:t>5847</w:t>
            </w:r>
          </w:p>
        </w:tc>
        <w:tc>
          <w:tcPr>
            <w:tcW w:w="993" w:type="dxa"/>
          </w:tcPr>
          <w:p w14:paraId="248ED8DA" w14:textId="3EE44F3A" w:rsidR="00E12D61" w:rsidRPr="00532302" w:rsidRDefault="00E12D61" w:rsidP="00B57560">
            <w:pPr>
              <w:jc w:val="right"/>
              <w:rPr>
                <w:rFonts w:ascii="Calibri" w:eastAsia="Calibri" w:hAnsi="Calibri" w:cs="Calibri"/>
                <w:color w:val="000000" w:themeColor="text1"/>
              </w:rPr>
            </w:pPr>
            <w:r w:rsidRPr="00E12D61">
              <w:rPr>
                <w:rFonts w:ascii="Calibri" w:eastAsia="Calibri" w:hAnsi="Calibri" w:cs="Calibri"/>
                <w:color w:val="000000" w:themeColor="text1"/>
              </w:rPr>
              <w:t>£19.61</w:t>
            </w:r>
          </w:p>
        </w:tc>
        <w:tc>
          <w:tcPr>
            <w:tcW w:w="934" w:type="dxa"/>
          </w:tcPr>
          <w:p w14:paraId="1721FB64" w14:textId="77777777" w:rsidR="00E12D61" w:rsidRPr="00532302" w:rsidRDefault="00E12D61" w:rsidP="00B57560">
            <w:pPr>
              <w:jc w:val="right"/>
              <w:rPr>
                <w:rFonts w:ascii="Calibri" w:eastAsia="Calibri" w:hAnsi="Calibri" w:cs="Calibri"/>
                <w:color w:val="000000" w:themeColor="text1"/>
              </w:rPr>
            </w:pPr>
          </w:p>
        </w:tc>
        <w:tc>
          <w:tcPr>
            <w:tcW w:w="1051" w:type="dxa"/>
          </w:tcPr>
          <w:p w14:paraId="0DB5D6CA" w14:textId="77777777" w:rsidR="00E12D61" w:rsidRPr="00532302" w:rsidRDefault="00E12D61" w:rsidP="00B57560">
            <w:pPr>
              <w:rPr>
                <w:rFonts w:ascii="Times New Roman" w:eastAsia="Times New Roman" w:hAnsi="Times New Roman" w:cs="Times New Roman"/>
                <w:sz w:val="20"/>
                <w:szCs w:val="20"/>
              </w:rPr>
            </w:pPr>
          </w:p>
        </w:tc>
        <w:tc>
          <w:tcPr>
            <w:tcW w:w="1498" w:type="dxa"/>
          </w:tcPr>
          <w:p w14:paraId="13FDC459" w14:textId="7B4E1D6B" w:rsidR="00E12D61" w:rsidRPr="00532302" w:rsidRDefault="00E12D61" w:rsidP="00B57560">
            <w:pPr>
              <w:jc w:val="right"/>
              <w:rPr>
                <w:rFonts w:ascii="Calibri" w:eastAsia="Calibri" w:hAnsi="Calibri" w:cs="Calibri"/>
                <w:color w:val="000000" w:themeColor="text1"/>
              </w:rPr>
            </w:pPr>
            <w:r w:rsidRPr="00E12D61">
              <w:rPr>
                <w:rFonts w:ascii="Calibri" w:eastAsia="Calibri" w:hAnsi="Calibri" w:cs="Calibri"/>
                <w:color w:val="000000" w:themeColor="text1"/>
              </w:rPr>
              <w:t>£17.25</w:t>
            </w:r>
          </w:p>
        </w:tc>
        <w:tc>
          <w:tcPr>
            <w:tcW w:w="1336" w:type="dxa"/>
          </w:tcPr>
          <w:p w14:paraId="09625052" w14:textId="77777777" w:rsidR="00E12D61" w:rsidRPr="00532302" w:rsidRDefault="00E12D61" w:rsidP="00B57560">
            <w:pPr>
              <w:jc w:val="right"/>
              <w:rPr>
                <w:rFonts w:ascii="Calibri" w:eastAsia="Calibri" w:hAnsi="Calibri" w:cs="Calibri"/>
                <w:color w:val="000000" w:themeColor="text1"/>
              </w:rPr>
            </w:pPr>
          </w:p>
        </w:tc>
        <w:tc>
          <w:tcPr>
            <w:tcW w:w="940" w:type="dxa"/>
          </w:tcPr>
          <w:p w14:paraId="1BAFFFEE" w14:textId="6E591F2A" w:rsidR="00E12D61" w:rsidRPr="00532302" w:rsidRDefault="00E12D61" w:rsidP="00B57560">
            <w:pPr>
              <w:rPr>
                <w:rFonts w:ascii="Times New Roman" w:eastAsia="Times New Roman" w:hAnsi="Times New Roman" w:cs="Times New Roman"/>
                <w:sz w:val="20"/>
                <w:szCs w:val="20"/>
              </w:rPr>
            </w:pPr>
          </w:p>
        </w:tc>
      </w:tr>
    </w:tbl>
    <w:p w14:paraId="040DCC6D" w14:textId="77777777" w:rsidR="00E12D61" w:rsidRPr="00A3227B" w:rsidRDefault="00E12D61" w:rsidP="006B569A">
      <w:pPr>
        <w:rPr>
          <w:rFonts w:ascii="Calibri" w:eastAsia="Calibri" w:hAnsi="Calibri" w:cs="Calibri"/>
          <w:color w:val="000000" w:themeColor="text1"/>
        </w:rPr>
      </w:pPr>
    </w:p>
    <w:p w14:paraId="1AEA828E" w14:textId="16BDAB1D" w:rsidR="6EBB2D3B" w:rsidRDefault="006B569A" w:rsidP="006B569A">
      <w:pPr>
        <w:rPr>
          <w:rFonts w:ascii="Calibri" w:eastAsia="Calibri" w:hAnsi="Calibri" w:cs="Calibri"/>
          <w:color w:val="000000" w:themeColor="text1"/>
        </w:rPr>
      </w:pPr>
      <w:r w:rsidRPr="006B569A">
        <w:rPr>
          <w:rFonts w:ascii="Calibri" w:eastAsia="Calibri" w:hAnsi="Calibri" w:cs="Calibri"/>
          <w:color w:val="000000" w:themeColor="text1"/>
        </w:rPr>
        <w:t>Whilst the median and mean pay gap for disabled colleagues has decreased year on year by 0.2% for mean and 2.8% for the median, it reflects the distribution of disabled colleagues and outliers in the high end of the distribution. We know this is true as only 3% of the upper quartile is occupied by disabled colleagues but 6% of the lower quartile is occupied by disabled colleagues. Newcastle University’s overall disability distribution is 92% non-disabled, 4% disabled and 4% of colleagues did not make a declaration.  The gaps have decreased when compared to the previous year.</w:t>
      </w:r>
    </w:p>
    <w:p w14:paraId="388FEFC0" w14:textId="56F69BAA" w:rsidR="75C2267E" w:rsidRPr="0002064F" w:rsidRDefault="001C7DAD" w:rsidP="0002064F">
      <w:pPr>
        <w:pStyle w:val="Heading2"/>
        <w:rPr>
          <w:b/>
          <w:bCs/>
        </w:rPr>
      </w:pPr>
      <w:bookmarkStart w:id="222" w:name="_Toc86832959"/>
      <w:bookmarkStart w:id="223" w:name="_Toc94185472"/>
      <w:r>
        <w:rPr>
          <w:b/>
          <w:bCs/>
        </w:rPr>
        <w:t>Next</w:t>
      </w:r>
      <w:r w:rsidR="7C193A01" w:rsidRPr="75C2267E">
        <w:rPr>
          <w:b/>
          <w:bCs/>
        </w:rPr>
        <w:t xml:space="preserve"> steps</w:t>
      </w:r>
      <w:bookmarkEnd w:id="222"/>
      <w:r w:rsidR="7C193A01" w:rsidRPr="75C2267E">
        <w:rPr>
          <w:b/>
          <w:bCs/>
        </w:rPr>
        <w:t xml:space="preserve"> </w:t>
      </w:r>
      <w:r w:rsidR="006B69D4">
        <w:rPr>
          <w:b/>
          <w:bCs/>
        </w:rPr>
        <w:t>for addressing pay gaps</w:t>
      </w:r>
      <w:bookmarkEnd w:id="223"/>
    </w:p>
    <w:p w14:paraId="761FB0A8" w14:textId="77777777" w:rsidR="001C7DAD" w:rsidRPr="001C7DAD" w:rsidRDefault="001C7DAD" w:rsidP="001C7DAD">
      <w:pPr>
        <w:spacing w:line="240" w:lineRule="auto"/>
        <w:rPr>
          <w:rFonts w:ascii="Calibri" w:eastAsia="Calibri" w:hAnsi="Calibri" w:cs="Calibri"/>
          <w:color w:val="000000" w:themeColor="text1"/>
        </w:rPr>
      </w:pPr>
      <w:r w:rsidRPr="001C7DAD">
        <w:rPr>
          <w:rFonts w:ascii="Calibri" w:eastAsia="Calibri" w:hAnsi="Calibri" w:cs="Calibri"/>
          <w:color w:val="000000" w:themeColor="text1"/>
        </w:rPr>
        <w:t xml:space="preserve">We are continuing to work to analyse and validate the data we have collected from this year’s pay gap reporting exercise at a more granular level. Our extensive report will allow us to look at occupational grouping, grade and even job title by pay gap. We intend to share this with our colleagues, network groups and union colleagues to determine any further specific priorities we want to address in relation to under representation, barriers to progression or promotion.  Coupled with our ongoing actions of pay transparency through more informed decisions within academic promotions, discretionary pay reviews and inclusive recruitment practices, we will develop and evolve our actions and underpin the work we continue to take forward within our Athena Swan and REC Action Plans which looks to address under representation across colleague groups. </w:t>
      </w:r>
    </w:p>
    <w:p w14:paraId="22F3BD8F" w14:textId="6B018CB4" w:rsidR="004B075E" w:rsidRDefault="001C7DAD" w:rsidP="001C7DAD">
      <w:pPr>
        <w:spacing w:line="240" w:lineRule="auto"/>
        <w:rPr>
          <w:rFonts w:ascii="Calibri" w:eastAsia="Calibri" w:hAnsi="Calibri" w:cs="Calibri"/>
          <w:color w:val="000000" w:themeColor="text1"/>
        </w:rPr>
      </w:pPr>
      <w:r w:rsidRPr="001C7DAD">
        <w:rPr>
          <w:rFonts w:ascii="Calibri" w:eastAsia="Calibri" w:hAnsi="Calibri" w:cs="Calibri"/>
          <w:color w:val="000000" w:themeColor="text1"/>
        </w:rPr>
        <w:t>For further information on our 2022 report and action plan please contact</w:t>
      </w:r>
      <w:r>
        <w:rPr>
          <w:rFonts w:ascii="Calibri" w:eastAsia="Calibri" w:hAnsi="Calibri" w:cs="Calibri"/>
          <w:color w:val="000000" w:themeColor="text1"/>
        </w:rPr>
        <w:t xml:space="preserve"> </w:t>
      </w:r>
      <w:hyperlink r:id="rId12" w:history="1">
        <w:r w:rsidRPr="002E7E63">
          <w:rPr>
            <w:rStyle w:val="Hyperlink"/>
            <w:rFonts w:ascii="Calibri" w:eastAsia="Calibri" w:hAnsi="Calibri" w:cs="Calibri"/>
          </w:rPr>
          <w:t>reward@newcastle.ac.uk</w:t>
        </w:r>
      </w:hyperlink>
      <w:r w:rsidR="00DC6B4B">
        <w:rPr>
          <w:rFonts w:ascii="Calibri" w:eastAsia="Calibri" w:hAnsi="Calibri" w:cs="Calibri"/>
          <w:color w:val="000000" w:themeColor="text1"/>
        </w:rPr>
        <w:t>.</w:t>
      </w:r>
    </w:p>
    <w:p w14:paraId="38177072" w14:textId="56886B55" w:rsidR="00046BE6" w:rsidRDefault="00046BE6">
      <w:pPr>
        <w:rPr>
          <w:rFonts w:ascii="Calibri" w:eastAsia="Calibri" w:hAnsi="Calibri" w:cs="Calibri"/>
          <w:color w:val="000000" w:themeColor="text1"/>
        </w:rPr>
      </w:pPr>
      <w:r>
        <w:rPr>
          <w:rFonts w:ascii="Calibri" w:eastAsia="Calibri" w:hAnsi="Calibri" w:cs="Calibri"/>
          <w:color w:val="000000" w:themeColor="text1"/>
        </w:rPr>
        <w:br w:type="page"/>
      </w:r>
    </w:p>
    <w:p w14:paraId="28420BFA" w14:textId="77777777" w:rsidR="008275D2" w:rsidRDefault="008275D2" w:rsidP="00DC6B4B">
      <w:pPr>
        <w:pStyle w:val="Heading1"/>
        <w:numPr>
          <w:ilvl w:val="0"/>
          <w:numId w:val="8"/>
        </w:numPr>
        <w:rPr>
          <w:b/>
          <w:bCs/>
        </w:rPr>
        <w:sectPr w:rsidR="008275D2">
          <w:headerReference w:type="default" r:id="rId13"/>
          <w:footerReference w:type="default" r:id="rId14"/>
          <w:pgSz w:w="11906" w:h="16838"/>
          <w:pgMar w:top="1440" w:right="1440" w:bottom="1440" w:left="1440" w:header="708" w:footer="708" w:gutter="0"/>
          <w:cols w:space="708"/>
          <w:docGrid w:linePitch="360"/>
        </w:sectPr>
      </w:pPr>
      <w:bookmarkStart w:id="224" w:name="_Toc94185473"/>
    </w:p>
    <w:p w14:paraId="4A8A71E5" w14:textId="55869D01" w:rsidR="00046BE6" w:rsidRPr="006E4D63" w:rsidRDefault="00046BE6" w:rsidP="00DC6B4B">
      <w:pPr>
        <w:pStyle w:val="Heading1"/>
        <w:numPr>
          <w:ilvl w:val="0"/>
          <w:numId w:val="9"/>
        </w:numPr>
        <w:rPr>
          <w:b/>
          <w:bCs/>
        </w:rPr>
      </w:pPr>
      <w:r w:rsidRPr="006E4D63">
        <w:rPr>
          <w:b/>
          <w:bCs/>
        </w:rPr>
        <w:lastRenderedPageBreak/>
        <w:t>Appendices</w:t>
      </w:r>
      <w:bookmarkEnd w:id="224"/>
      <w:r w:rsidRPr="006E4D63">
        <w:rPr>
          <w:b/>
          <w:bCs/>
        </w:rPr>
        <w:t xml:space="preserve"> </w:t>
      </w:r>
    </w:p>
    <w:p w14:paraId="3E84FE9D" w14:textId="0F289CFD" w:rsidR="006E4D63" w:rsidRPr="0070471F" w:rsidRDefault="006E4D63" w:rsidP="0070471F">
      <w:pPr>
        <w:rPr>
          <w:b/>
          <w:bCs/>
        </w:rPr>
      </w:pPr>
    </w:p>
    <w:p w14:paraId="5B23D664" w14:textId="53756E7D" w:rsidR="006E4D63" w:rsidRPr="0070471F" w:rsidRDefault="0070471F" w:rsidP="0070471F">
      <w:pPr>
        <w:rPr>
          <w:b/>
          <w:bCs/>
        </w:rPr>
      </w:pPr>
      <w:r w:rsidRPr="0070471F">
        <w:rPr>
          <w:b/>
          <w:bCs/>
        </w:rPr>
        <w:t xml:space="preserve">For </w:t>
      </w:r>
      <w:r w:rsidR="006E4D63" w:rsidRPr="0070471F">
        <w:rPr>
          <w:b/>
          <w:bCs/>
        </w:rPr>
        <w:t>Appendix 1</w:t>
      </w:r>
      <w:r w:rsidRPr="0070471F">
        <w:rPr>
          <w:b/>
          <w:bCs/>
        </w:rPr>
        <w:t xml:space="preserve"> see separate</w:t>
      </w:r>
      <w:r>
        <w:rPr>
          <w:b/>
          <w:bCs/>
        </w:rPr>
        <w:t>ly published</w:t>
      </w:r>
      <w:r w:rsidRPr="0070471F">
        <w:rPr>
          <w:b/>
          <w:bCs/>
        </w:rPr>
        <w:t xml:space="preserve"> document</w:t>
      </w:r>
      <w:r w:rsidR="001C7DAD">
        <w:rPr>
          <w:b/>
          <w:bCs/>
        </w:rPr>
        <w:t>: Workforce Diversity Tables</w:t>
      </w:r>
    </w:p>
    <w:p w14:paraId="78821395" w14:textId="31362E4C" w:rsidR="00046BE6" w:rsidRPr="008A7D4D" w:rsidRDefault="00046BE6" w:rsidP="008A7D4D">
      <w:pPr>
        <w:pStyle w:val="Heading2"/>
        <w:rPr>
          <w:b/>
          <w:bCs/>
        </w:rPr>
      </w:pPr>
    </w:p>
    <w:p w14:paraId="42F19568" w14:textId="3CAEF52E" w:rsidR="00C40021" w:rsidRPr="008A7D4D" w:rsidRDefault="006E4D63" w:rsidP="008A7D4D">
      <w:pPr>
        <w:pStyle w:val="Heading2"/>
        <w:rPr>
          <w:b/>
          <w:bCs/>
        </w:rPr>
      </w:pPr>
      <w:bookmarkStart w:id="225" w:name="_Toc94185474"/>
      <w:r w:rsidRPr="008A7D4D">
        <w:rPr>
          <w:b/>
          <w:bCs/>
        </w:rPr>
        <w:t xml:space="preserve">Appendix </w:t>
      </w:r>
      <w:r w:rsidR="007F323F">
        <w:rPr>
          <w:b/>
          <w:bCs/>
        </w:rPr>
        <w:t>2</w:t>
      </w:r>
      <w:r w:rsidRPr="008A7D4D">
        <w:rPr>
          <w:b/>
          <w:bCs/>
        </w:rPr>
        <w:t xml:space="preserve">: </w:t>
      </w:r>
      <w:r w:rsidR="00C40021" w:rsidRPr="008A7D4D">
        <w:rPr>
          <w:b/>
          <w:bCs/>
        </w:rPr>
        <w:t>List of abbreviations</w:t>
      </w:r>
      <w:bookmarkEnd w:id="225"/>
      <w:r w:rsidR="00C40021" w:rsidRPr="008A7D4D">
        <w:rPr>
          <w:b/>
          <w:bCs/>
        </w:rPr>
        <w:t xml:space="preserve"> </w:t>
      </w:r>
    </w:p>
    <w:p w14:paraId="21538C3D" w14:textId="77777777" w:rsidR="00C40021" w:rsidRPr="00C40021" w:rsidRDefault="00C40021" w:rsidP="00C40021"/>
    <w:p w14:paraId="34081236" w14:textId="77777777" w:rsidR="007F323F" w:rsidRPr="007F323F" w:rsidRDefault="007F323F" w:rsidP="007F323F">
      <w:pPr>
        <w:rPr>
          <w:rFonts w:ascii="Calibri" w:eastAsia="Calibri" w:hAnsi="Calibri" w:cs="Calibri"/>
        </w:rPr>
      </w:pPr>
      <w:r w:rsidRPr="007F323F">
        <w:rPr>
          <w:rFonts w:ascii="Calibri" w:eastAsia="Calibri" w:hAnsi="Calibri" w:cs="Calibri"/>
        </w:rPr>
        <w:t xml:space="preserve">APL - School of Architecture, Planning and Landscape </w:t>
      </w:r>
    </w:p>
    <w:p w14:paraId="34AF6AD3" w14:textId="77777777" w:rsidR="007F323F" w:rsidRPr="007F323F" w:rsidRDefault="007F323F" w:rsidP="007F323F">
      <w:pPr>
        <w:rPr>
          <w:rFonts w:ascii="Calibri" w:eastAsia="Calibri" w:hAnsi="Calibri" w:cs="Calibri"/>
        </w:rPr>
      </w:pPr>
      <w:r w:rsidRPr="007F323F">
        <w:rPr>
          <w:rFonts w:ascii="Calibri" w:eastAsia="Calibri" w:hAnsi="Calibri" w:cs="Calibri"/>
        </w:rPr>
        <w:t>APP – Access and Participation Plan</w:t>
      </w:r>
    </w:p>
    <w:p w14:paraId="48A1E5E3" w14:textId="77777777" w:rsidR="007F323F" w:rsidRPr="007F323F" w:rsidRDefault="007F323F" w:rsidP="007F323F">
      <w:pPr>
        <w:rPr>
          <w:rFonts w:ascii="Calibri" w:eastAsia="Calibri" w:hAnsi="Calibri" w:cs="Calibri"/>
        </w:rPr>
      </w:pPr>
      <w:r w:rsidRPr="007F323F">
        <w:rPr>
          <w:rFonts w:ascii="Calibri" w:eastAsia="Calibri" w:hAnsi="Calibri" w:cs="Calibri"/>
        </w:rPr>
        <w:t>AY – Academic year</w:t>
      </w:r>
    </w:p>
    <w:p w14:paraId="05FD0904" w14:textId="77777777" w:rsidR="007F323F" w:rsidRPr="007F323F" w:rsidRDefault="007F323F" w:rsidP="007F323F">
      <w:pPr>
        <w:rPr>
          <w:rFonts w:ascii="Calibri" w:eastAsia="Calibri" w:hAnsi="Calibri" w:cs="Calibri"/>
        </w:rPr>
      </w:pPr>
      <w:r w:rsidRPr="007F323F">
        <w:rPr>
          <w:rFonts w:ascii="Calibri" w:eastAsia="Calibri" w:hAnsi="Calibri" w:cs="Calibri"/>
        </w:rPr>
        <w:t>CEAs – Clinical Excellence Awards, bonuses paid to clinical colleagues by the local NHS Trust</w:t>
      </w:r>
    </w:p>
    <w:p w14:paraId="574F7FDF" w14:textId="77777777" w:rsidR="007F323F" w:rsidRPr="007F323F" w:rsidRDefault="007F323F" w:rsidP="007F323F">
      <w:pPr>
        <w:rPr>
          <w:rFonts w:ascii="Calibri" w:eastAsia="Calibri" w:hAnsi="Calibri" w:cs="Calibri"/>
        </w:rPr>
      </w:pPr>
      <w:r w:rsidRPr="007F323F">
        <w:rPr>
          <w:rFonts w:ascii="Calibri" w:eastAsia="Calibri" w:hAnsi="Calibri" w:cs="Calibri"/>
        </w:rPr>
        <w:t xml:space="preserve">DIG - Disability Interest Group </w:t>
      </w:r>
    </w:p>
    <w:p w14:paraId="1FE9684D" w14:textId="77777777" w:rsidR="007F323F" w:rsidRPr="007F323F" w:rsidRDefault="007F323F" w:rsidP="007F323F">
      <w:pPr>
        <w:rPr>
          <w:rFonts w:ascii="Calibri" w:eastAsia="Calibri" w:hAnsi="Calibri" w:cs="Calibri"/>
        </w:rPr>
      </w:pPr>
      <w:r w:rsidRPr="007F323F">
        <w:rPr>
          <w:rFonts w:ascii="Calibri" w:eastAsia="Calibri" w:hAnsi="Calibri" w:cs="Calibri"/>
        </w:rPr>
        <w:t xml:space="preserve">ECLS - School of Education, Communication and Language Sciences </w:t>
      </w:r>
    </w:p>
    <w:p w14:paraId="58532717" w14:textId="77777777" w:rsidR="007F323F" w:rsidRPr="007F323F" w:rsidRDefault="007F323F" w:rsidP="007F323F">
      <w:pPr>
        <w:rPr>
          <w:rFonts w:ascii="Calibri" w:eastAsia="Calibri" w:hAnsi="Calibri" w:cs="Calibri"/>
        </w:rPr>
      </w:pPr>
      <w:r w:rsidRPr="007F323F">
        <w:rPr>
          <w:rFonts w:ascii="Calibri" w:eastAsia="Calibri" w:hAnsi="Calibri" w:cs="Calibri"/>
        </w:rPr>
        <w:t>EDI – Equality, diversity and inclusion</w:t>
      </w:r>
    </w:p>
    <w:p w14:paraId="090F8463" w14:textId="77777777" w:rsidR="007F323F" w:rsidRPr="007F323F" w:rsidRDefault="007F323F" w:rsidP="007F323F">
      <w:pPr>
        <w:rPr>
          <w:rFonts w:ascii="Calibri" w:eastAsia="Calibri" w:hAnsi="Calibri" w:cs="Calibri"/>
        </w:rPr>
      </w:pPr>
      <w:r w:rsidRPr="007F323F">
        <w:rPr>
          <w:rFonts w:ascii="Calibri" w:eastAsia="Calibri" w:hAnsi="Calibri" w:cs="Calibri"/>
        </w:rPr>
        <w:t>ELLL - School of English Literature, Language and Linguistics</w:t>
      </w:r>
    </w:p>
    <w:p w14:paraId="33567413" w14:textId="77777777" w:rsidR="007F323F" w:rsidRPr="007F323F" w:rsidRDefault="007F323F" w:rsidP="007F323F">
      <w:pPr>
        <w:rPr>
          <w:rFonts w:ascii="Calibri" w:eastAsia="Calibri" w:hAnsi="Calibri" w:cs="Calibri"/>
        </w:rPr>
      </w:pPr>
      <w:r w:rsidRPr="007F323F">
        <w:rPr>
          <w:rFonts w:ascii="Calibri" w:eastAsia="Calibri" w:hAnsi="Calibri" w:cs="Calibri"/>
        </w:rPr>
        <w:t>EPSRC - The Engineering and Physical Sciences Research Council</w:t>
      </w:r>
    </w:p>
    <w:p w14:paraId="16AFD9E4" w14:textId="77777777" w:rsidR="007F323F" w:rsidRPr="007F323F" w:rsidRDefault="007F323F" w:rsidP="007F323F">
      <w:pPr>
        <w:rPr>
          <w:rFonts w:ascii="Calibri" w:eastAsia="Calibri" w:hAnsi="Calibri" w:cs="Calibri"/>
        </w:rPr>
      </w:pPr>
      <w:r w:rsidRPr="007F323F">
        <w:rPr>
          <w:rFonts w:ascii="Calibri" w:eastAsia="Calibri" w:hAnsi="Calibri" w:cs="Calibri"/>
        </w:rPr>
        <w:t>FMS - Faculty of Medical Sciences</w:t>
      </w:r>
    </w:p>
    <w:p w14:paraId="7346C343" w14:textId="77777777" w:rsidR="007F323F" w:rsidRPr="007F323F" w:rsidRDefault="007F323F" w:rsidP="007F323F">
      <w:pPr>
        <w:rPr>
          <w:rFonts w:ascii="Calibri" w:eastAsia="Calibri" w:hAnsi="Calibri" w:cs="Calibri"/>
        </w:rPr>
      </w:pPr>
      <w:r w:rsidRPr="007F323F">
        <w:rPr>
          <w:rFonts w:ascii="Calibri" w:eastAsia="Calibri" w:hAnsi="Calibri" w:cs="Calibri"/>
        </w:rPr>
        <w:t xml:space="preserve">GPG – Gender </w:t>
      </w:r>
      <w:proofErr w:type="gramStart"/>
      <w:r w:rsidRPr="007F323F">
        <w:rPr>
          <w:rFonts w:ascii="Calibri" w:eastAsia="Calibri" w:hAnsi="Calibri" w:cs="Calibri"/>
        </w:rPr>
        <w:t>pay</w:t>
      </w:r>
      <w:proofErr w:type="gramEnd"/>
      <w:r w:rsidRPr="007F323F">
        <w:rPr>
          <w:rFonts w:ascii="Calibri" w:eastAsia="Calibri" w:hAnsi="Calibri" w:cs="Calibri"/>
        </w:rPr>
        <w:t xml:space="preserve"> gap</w:t>
      </w:r>
    </w:p>
    <w:p w14:paraId="7CBDCD75" w14:textId="77777777" w:rsidR="007F323F" w:rsidRPr="007F323F" w:rsidRDefault="007F323F" w:rsidP="007F323F">
      <w:pPr>
        <w:rPr>
          <w:rFonts w:ascii="Calibri" w:eastAsia="Calibri" w:hAnsi="Calibri" w:cs="Calibri"/>
        </w:rPr>
      </w:pPr>
      <w:r w:rsidRPr="007F323F">
        <w:rPr>
          <w:rFonts w:ascii="Calibri" w:eastAsia="Calibri" w:hAnsi="Calibri" w:cs="Calibri"/>
        </w:rPr>
        <w:t xml:space="preserve">GPS - School of Geography, Politics and Sociology </w:t>
      </w:r>
    </w:p>
    <w:p w14:paraId="188005E8" w14:textId="77777777" w:rsidR="007F323F" w:rsidRPr="007F323F" w:rsidRDefault="007F323F" w:rsidP="007F323F">
      <w:pPr>
        <w:rPr>
          <w:rFonts w:ascii="Calibri" w:eastAsia="Calibri" w:hAnsi="Calibri" w:cs="Calibri"/>
        </w:rPr>
      </w:pPr>
      <w:r w:rsidRPr="007F323F">
        <w:rPr>
          <w:rFonts w:ascii="Calibri" w:eastAsia="Calibri" w:hAnsi="Calibri" w:cs="Calibri"/>
        </w:rPr>
        <w:t>HaSS – Faculty of Humanities and Social Sciences</w:t>
      </w:r>
    </w:p>
    <w:p w14:paraId="026F4743" w14:textId="77777777" w:rsidR="007F323F" w:rsidRPr="007F323F" w:rsidRDefault="007F323F" w:rsidP="007F323F">
      <w:pPr>
        <w:rPr>
          <w:rFonts w:ascii="Calibri" w:eastAsia="Calibri" w:hAnsi="Calibri" w:cs="Calibri"/>
        </w:rPr>
      </w:pPr>
      <w:r w:rsidRPr="007F323F">
        <w:rPr>
          <w:rFonts w:ascii="Calibri" w:eastAsia="Calibri" w:hAnsi="Calibri" w:cs="Calibri"/>
        </w:rPr>
        <w:t xml:space="preserve">HCA - School of History, Classics and Archaeology </w:t>
      </w:r>
    </w:p>
    <w:p w14:paraId="020D8EBD" w14:textId="77777777" w:rsidR="007F323F" w:rsidRPr="007F323F" w:rsidRDefault="007F323F" w:rsidP="007F323F">
      <w:pPr>
        <w:rPr>
          <w:rFonts w:ascii="Calibri" w:eastAsia="Calibri" w:hAnsi="Calibri" w:cs="Calibri"/>
        </w:rPr>
      </w:pPr>
      <w:r w:rsidRPr="007F323F">
        <w:rPr>
          <w:rFonts w:ascii="Calibri" w:eastAsia="Calibri" w:hAnsi="Calibri" w:cs="Calibri"/>
        </w:rPr>
        <w:t xml:space="preserve">HE – Higher Education </w:t>
      </w:r>
    </w:p>
    <w:p w14:paraId="5D29A162" w14:textId="77777777" w:rsidR="007F323F" w:rsidRPr="007F323F" w:rsidRDefault="007F323F" w:rsidP="007F323F">
      <w:pPr>
        <w:rPr>
          <w:rFonts w:ascii="Calibri" w:eastAsia="Calibri" w:hAnsi="Calibri" w:cs="Calibri"/>
        </w:rPr>
      </w:pPr>
      <w:r w:rsidRPr="007F323F">
        <w:rPr>
          <w:rFonts w:ascii="Calibri" w:eastAsia="Calibri" w:hAnsi="Calibri" w:cs="Calibri"/>
        </w:rPr>
        <w:t>HEA – Higher Education Academy</w:t>
      </w:r>
    </w:p>
    <w:p w14:paraId="2D156994" w14:textId="0B9639FF" w:rsidR="00046BE6" w:rsidRDefault="007F323F" w:rsidP="007F323F">
      <w:pPr>
        <w:rPr>
          <w:rFonts w:ascii="Calibri" w:eastAsia="Calibri" w:hAnsi="Calibri" w:cs="Calibri"/>
        </w:rPr>
      </w:pPr>
      <w:r w:rsidRPr="007F323F">
        <w:rPr>
          <w:rFonts w:ascii="Calibri" w:eastAsia="Calibri" w:hAnsi="Calibri" w:cs="Calibri"/>
        </w:rPr>
        <w:t>HESA – Higher Education Statistics Agency</w:t>
      </w:r>
    </w:p>
    <w:p w14:paraId="4DEC1BDB" w14:textId="77777777" w:rsidR="007F323F" w:rsidRPr="007F323F" w:rsidRDefault="007F323F" w:rsidP="007F323F">
      <w:pPr>
        <w:rPr>
          <w:rFonts w:ascii="Calibri" w:eastAsia="Calibri" w:hAnsi="Calibri" w:cs="Calibri"/>
          <w:color w:val="000000" w:themeColor="text1"/>
        </w:rPr>
      </w:pPr>
      <w:r w:rsidRPr="007F323F">
        <w:rPr>
          <w:rFonts w:ascii="Calibri" w:eastAsia="Calibri" w:hAnsi="Calibri" w:cs="Calibri"/>
          <w:color w:val="000000" w:themeColor="text1"/>
        </w:rPr>
        <w:t xml:space="preserve">LGB+ People who identify as lesbian, gay, bisexual </w:t>
      </w:r>
    </w:p>
    <w:p w14:paraId="75F587BB" w14:textId="77777777" w:rsidR="007F323F" w:rsidRPr="007F323F" w:rsidRDefault="007F323F" w:rsidP="007F323F">
      <w:pPr>
        <w:rPr>
          <w:rFonts w:ascii="Calibri" w:eastAsia="Calibri" w:hAnsi="Calibri" w:cs="Calibri"/>
          <w:color w:val="000000" w:themeColor="text1"/>
        </w:rPr>
      </w:pPr>
      <w:r w:rsidRPr="007F323F">
        <w:rPr>
          <w:rFonts w:ascii="Calibri" w:eastAsia="Calibri" w:hAnsi="Calibri" w:cs="Calibri"/>
          <w:color w:val="000000" w:themeColor="text1"/>
        </w:rPr>
        <w:t>or other sexualities except heterosexual</w:t>
      </w:r>
    </w:p>
    <w:p w14:paraId="676515B4" w14:textId="77777777" w:rsidR="007F323F" w:rsidRPr="007F323F" w:rsidRDefault="007F323F" w:rsidP="007F323F">
      <w:pPr>
        <w:rPr>
          <w:rFonts w:ascii="Calibri" w:eastAsia="Calibri" w:hAnsi="Calibri" w:cs="Calibri"/>
          <w:color w:val="000000" w:themeColor="text1"/>
        </w:rPr>
      </w:pPr>
      <w:r w:rsidRPr="007F323F">
        <w:rPr>
          <w:rFonts w:ascii="Calibri" w:eastAsia="Calibri" w:hAnsi="Calibri" w:cs="Calibri"/>
          <w:color w:val="000000" w:themeColor="text1"/>
        </w:rPr>
        <w:t xml:space="preserve">LGBTQ+ People who identify as lesbian, gay, bisexual, transgender, queer (or questioning), and other sexual identities </w:t>
      </w:r>
    </w:p>
    <w:p w14:paraId="2BFE9580" w14:textId="77777777" w:rsidR="007F323F" w:rsidRPr="007F323F" w:rsidRDefault="007F323F" w:rsidP="007F323F">
      <w:pPr>
        <w:rPr>
          <w:rFonts w:ascii="Calibri" w:eastAsia="Calibri" w:hAnsi="Calibri" w:cs="Calibri"/>
          <w:color w:val="000000" w:themeColor="text1"/>
        </w:rPr>
      </w:pPr>
      <w:r w:rsidRPr="007F323F">
        <w:rPr>
          <w:rFonts w:ascii="Calibri" w:eastAsia="Calibri" w:hAnsi="Calibri" w:cs="Calibri"/>
          <w:color w:val="000000" w:themeColor="text1"/>
        </w:rPr>
        <w:t>NHS – National Health Service</w:t>
      </w:r>
    </w:p>
    <w:p w14:paraId="60BA13AF" w14:textId="77777777" w:rsidR="007F323F" w:rsidRPr="007F323F" w:rsidRDefault="007F323F" w:rsidP="007F323F">
      <w:pPr>
        <w:rPr>
          <w:rFonts w:ascii="Calibri" w:eastAsia="Calibri" w:hAnsi="Calibri" w:cs="Calibri"/>
          <w:color w:val="000000" w:themeColor="text1"/>
        </w:rPr>
      </w:pPr>
      <w:r w:rsidRPr="007F323F">
        <w:rPr>
          <w:rFonts w:ascii="Calibri" w:eastAsia="Calibri" w:hAnsi="Calibri" w:cs="Calibri"/>
          <w:color w:val="000000" w:themeColor="text1"/>
        </w:rPr>
        <w:t xml:space="preserve">NLS - Newcastle Law School </w:t>
      </w:r>
    </w:p>
    <w:p w14:paraId="5D9205A7" w14:textId="77777777" w:rsidR="007F323F" w:rsidRPr="007F323F" w:rsidRDefault="007F323F" w:rsidP="007F323F">
      <w:pPr>
        <w:rPr>
          <w:rFonts w:ascii="Calibri" w:eastAsia="Calibri" w:hAnsi="Calibri" w:cs="Calibri"/>
          <w:color w:val="000000" w:themeColor="text1"/>
        </w:rPr>
      </w:pPr>
      <w:r w:rsidRPr="007F323F">
        <w:rPr>
          <w:rFonts w:ascii="Calibri" w:eastAsia="Calibri" w:hAnsi="Calibri" w:cs="Calibri"/>
          <w:color w:val="000000" w:themeColor="text1"/>
        </w:rPr>
        <w:t>NUBS - Newcastle University Business School</w:t>
      </w:r>
    </w:p>
    <w:p w14:paraId="45EFB2C8" w14:textId="77777777" w:rsidR="007F323F" w:rsidRPr="007F323F" w:rsidRDefault="007F323F" w:rsidP="007F323F">
      <w:pPr>
        <w:rPr>
          <w:rFonts w:ascii="Calibri" w:eastAsia="Calibri" w:hAnsi="Calibri" w:cs="Calibri"/>
          <w:color w:val="000000" w:themeColor="text1"/>
        </w:rPr>
      </w:pPr>
      <w:r w:rsidRPr="007F323F">
        <w:rPr>
          <w:rFonts w:ascii="Calibri" w:eastAsia="Calibri" w:hAnsi="Calibri" w:cs="Calibri"/>
          <w:color w:val="000000" w:themeColor="text1"/>
        </w:rPr>
        <w:t xml:space="preserve">NU-REN - NU Race Equality Network </w:t>
      </w:r>
    </w:p>
    <w:p w14:paraId="17AA77B4" w14:textId="77777777" w:rsidR="007F323F" w:rsidRPr="007F323F" w:rsidRDefault="007F323F" w:rsidP="007F323F">
      <w:pPr>
        <w:rPr>
          <w:rFonts w:ascii="Calibri" w:eastAsia="Calibri" w:hAnsi="Calibri" w:cs="Calibri"/>
          <w:color w:val="000000" w:themeColor="text1"/>
        </w:rPr>
      </w:pPr>
      <w:r w:rsidRPr="007F323F">
        <w:rPr>
          <w:rFonts w:ascii="Calibri" w:eastAsia="Calibri" w:hAnsi="Calibri" w:cs="Calibri"/>
          <w:color w:val="000000" w:themeColor="text1"/>
        </w:rPr>
        <w:lastRenderedPageBreak/>
        <w:t>NUSU – Newcastle University Students’ Union</w:t>
      </w:r>
    </w:p>
    <w:p w14:paraId="01BEEE17" w14:textId="77777777" w:rsidR="007F323F" w:rsidRPr="007F323F" w:rsidRDefault="007F323F" w:rsidP="007F323F">
      <w:pPr>
        <w:rPr>
          <w:rFonts w:ascii="Calibri" w:eastAsia="Calibri" w:hAnsi="Calibri" w:cs="Calibri"/>
          <w:color w:val="000000" w:themeColor="text1"/>
        </w:rPr>
      </w:pPr>
      <w:r w:rsidRPr="007F323F">
        <w:rPr>
          <w:rFonts w:ascii="Calibri" w:eastAsia="Calibri" w:hAnsi="Calibri" w:cs="Calibri"/>
          <w:color w:val="000000" w:themeColor="text1"/>
        </w:rPr>
        <w:t>Prefer NTS – Prefer not to say response chosen to demographic question</w:t>
      </w:r>
    </w:p>
    <w:p w14:paraId="14C09697" w14:textId="77777777" w:rsidR="007F323F" w:rsidRPr="007F323F" w:rsidRDefault="007F323F" w:rsidP="007F323F">
      <w:pPr>
        <w:rPr>
          <w:rFonts w:ascii="Calibri" w:eastAsia="Calibri" w:hAnsi="Calibri" w:cs="Calibri"/>
          <w:color w:val="000000" w:themeColor="text1"/>
        </w:rPr>
      </w:pPr>
      <w:r w:rsidRPr="007F323F">
        <w:rPr>
          <w:rFonts w:ascii="Calibri" w:eastAsia="Calibri" w:hAnsi="Calibri" w:cs="Calibri"/>
          <w:color w:val="000000" w:themeColor="text1"/>
        </w:rPr>
        <w:t>PS - Professional service colleagues</w:t>
      </w:r>
    </w:p>
    <w:p w14:paraId="3B5DD51B" w14:textId="77777777" w:rsidR="007F323F" w:rsidRPr="007F323F" w:rsidRDefault="007F323F" w:rsidP="007F323F">
      <w:pPr>
        <w:rPr>
          <w:rFonts w:ascii="Calibri" w:eastAsia="Calibri" w:hAnsi="Calibri" w:cs="Calibri"/>
          <w:color w:val="000000" w:themeColor="text1"/>
        </w:rPr>
      </w:pPr>
      <w:r w:rsidRPr="007F323F">
        <w:rPr>
          <w:rFonts w:ascii="Calibri" w:eastAsia="Calibri" w:hAnsi="Calibri" w:cs="Calibri"/>
          <w:color w:val="000000" w:themeColor="text1"/>
        </w:rPr>
        <w:t xml:space="preserve">PSED - Public Sector Equality Duty </w:t>
      </w:r>
    </w:p>
    <w:p w14:paraId="19C54AC5" w14:textId="77777777" w:rsidR="007F323F" w:rsidRPr="007F323F" w:rsidRDefault="007F323F" w:rsidP="007F323F">
      <w:pPr>
        <w:rPr>
          <w:rFonts w:ascii="Calibri" w:eastAsia="Calibri" w:hAnsi="Calibri" w:cs="Calibri"/>
          <w:color w:val="000000" w:themeColor="text1"/>
        </w:rPr>
      </w:pPr>
      <w:r w:rsidRPr="007F323F">
        <w:rPr>
          <w:rFonts w:ascii="Calibri" w:eastAsia="Calibri" w:hAnsi="Calibri" w:cs="Calibri"/>
          <w:color w:val="000000" w:themeColor="text1"/>
        </w:rPr>
        <w:t>REC – Race Equality Charter</w:t>
      </w:r>
    </w:p>
    <w:p w14:paraId="40D238DD" w14:textId="77777777" w:rsidR="007F323F" w:rsidRPr="007F323F" w:rsidRDefault="007F323F" w:rsidP="007F323F">
      <w:pPr>
        <w:rPr>
          <w:rFonts w:ascii="Calibri" w:eastAsia="Calibri" w:hAnsi="Calibri" w:cs="Calibri"/>
          <w:color w:val="000000" w:themeColor="text1"/>
        </w:rPr>
      </w:pPr>
      <w:r w:rsidRPr="007F323F">
        <w:rPr>
          <w:rFonts w:ascii="Calibri" w:eastAsia="Calibri" w:hAnsi="Calibri" w:cs="Calibri"/>
          <w:color w:val="000000" w:themeColor="text1"/>
        </w:rPr>
        <w:t>R&amp;I – Academic colleagues on Research and Innovation contracts</w:t>
      </w:r>
    </w:p>
    <w:p w14:paraId="5BDC5332" w14:textId="77777777" w:rsidR="007F323F" w:rsidRPr="007F323F" w:rsidRDefault="007F323F" w:rsidP="007F323F">
      <w:pPr>
        <w:rPr>
          <w:rFonts w:ascii="Calibri" w:eastAsia="Calibri" w:hAnsi="Calibri" w:cs="Calibri"/>
          <w:color w:val="000000" w:themeColor="text1"/>
        </w:rPr>
      </w:pPr>
      <w:r w:rsidRPr="007F323F">
        <w:rPr>
          <w:rFonts w:ascii="Calibri" w:eastAsia="Calibri" w:hAnsi="Calibri" w:cs="Calibri"/>
          <w:color w:val="000000" w:themeColor="text1"/>
        </w:rPr>
        <w:t xml:space="preserve">SACS - School of Arts and Cultures </w:t>
      </w:r>
    </w:p>
    <w:p w14:paraId="2E7087FF" w14:textId="77777777" w:rsidR="007F323F" w:rsidRPr="007F323F" w:rsidRDefault="007F323F" w:rsidP="007F323F">
      <w:pPr>
        <w:rPr>
          <w:rFonts w:ascii="Calibri" w:eastAsia="Calibri" w:hAnsi="Calibri" w:cs="Calibri"/>
          <w:color w:val="000000" w:themeColor="text1"/>
        </w:rPr>
      </w:pPr>
      <w:r w:rsidRPr="007F323F">
        <w:rPr>
          <w:rFonts w:ascii="Calibri" w:eastAsia="Calibri" w:hAnsi="Calibri" w:cs="Calibri"/>
          <w:color w:val="000000" w:themeColor="text1"/>
        </w:rPr>
        <w:t xml:space="preserve">SAgE – Faculty of Agriculture and Engineering </w:t>
      </w:r>
    </w:p>
    <w:p w14:paraId="2E1E0B84" w14:textId="77777777" w:rsidR="007F323F" w:rsidRPr="007F323F" w:rsidRDefault="007F323F" w:rsidP="007F323F">
      <w:pPr>
        <w:rPr>
          <w:rFonts w:ascii="Calibri" w:eastAsia="Calibri" w:hAnsi="Calibri" w:cs="Calibri"/>
          <w:color w:val="000000" w:themeColor="text1"/>
        </w:rPr>
      </w:pPr>
      <w:r w:rsidRPr="007F323F">
        <w:rPr>
          <w:rFonts w:ascii="Calibri" w:eastAsia="Calibri" w:hAnsi="Calibri" w:cs="Calibri"/>
          <w:color w:val="000000" w:themeColor="text1"/>
        </w:rPr>
        <w:t>SAT – Self-Assessment Team</w:t>
      </w:r>
    </w:p>
    <w:p w14:paraId="1D3B9A52" w14:textId="673116F3" w:rsidR="007F323F" w:rsidRDefault="007F323F" w:rsidP="007F323F">
      <w:pPr>
        <w:rPr>
          <w:rFonts w:ascii="Calibri" w:eastAsia="Calibri" w:hAnsi="Calibri" w:cs="Calibri"/>
          <w:color w:val="000000" w:themeColor="text1"/>
        </w:rPr>
      </w:pPr>
      <w:r w:rsidRPr="007F323F">
        <w:rPr>
          <w:rFonts w:ascii="Calibri" w:eastAsia="Calibri" w:hAnsi="Calibri" w:cs="Calibri"/>
          <w:color w:val="000000" w:themeColor="text1"/>
        </w:rPr>
        <w:t>SML - School of Modern Languages</w:t>
      </w:r>
    </w:p>
    <w:p w14:paraId="67FD067F" w14:textId="77777777" w:rsidR="007F323F" w:rsidRPr="007F323F" w:rsidRDefault="007F323F" w:rsidP="007F323F">
      <w:pPr>
        <w:rPr>
          <w:rFonts w:ascii="Calibri" w:eastAsia="Calibri" w:hAnsi="Calibri" w:cs="Calibri"/>
          <w:color w:val="000000" w:themeColor="text1"/>
        </w:rPr>
      </w:pPr>
      <w:r w:rsidRPr="007F323F">
        <w:rPr>
          <w:rFonts w:ascii="Calibri" w:eastAsia="Calibri" w:hAnsi="Calibri" w:cs="Calibri"/>
          <w:color w:val="000000" w:themeColor="text1"/>
        </w:rPr>
        <w:t>Stonewall WEI - Workplace Equality Index</w:t>
      </w:r>
    </w:p>
    <w:p w14:paraId="70EF227B" w14:textId="77777777" w:rsidR="007F323F" w:rsidRPr="007F323F" w:rsidRDefault="007F323F" w:rsidP="007F323F">
      <w:pPr>
        <w:rPr>
          <w:rFonts w:ascii="Calibri" w:eastAsia="Calibri" w:hAnsi="Calibri" w:cs="Calibri"/>
          <w:color w:val="000000" w:themeColor="text1"/>
        </w:rPr>
      </w:pPr>
      <w:r w:rsidRPr="007F323F">
        <w:rPr>
          <w:rFonts w:ascii="Calibri" w:eastAsia="Calibri" w:hAnsi="Calibri" w:cs="Calibri"/>
          <w:color w:val="000000" w:themeColor="text1"/>
        </w:rPr>
        <w:t xml:space="preserve">SVLO - Sexual Violence Liaison Officers </w:t>
      </w:r>
    </w:p>
    <w:p w14:paraId="210ABB8D" w14:textId="77777777" w:rsidR="007F323F" w:rsidRPr="007F323F" w:rsidRDefault="007F323F" w:rsidP="007F323F">
      <w:pPr>
        <w:rPr>
          <w:rFonts w:ascii="Calibri" w:eastAsia="Calibri" w:hAnsi="Calibri" w:cs="Calibri"/>
          <w:color w:val="000000" w:themeColor="text1"/>
        </w:rPr>
      </w:pPr>
      <w:r w:rsidRPr="007F323F">
        <w:rPr>
          <w:rFonts w:ascii="Calibri" w:eastAsia="Calibri" w:hAnsi="Calibri" w:cs="Calibri"/>
          <w:color w:val="000000" w:themeColor="text1"/>
        </w:rPr>
        <w:t>T&amp;R – Academic colleagues on Teaching and Research contracts</w:t>
      </w:r>
    </w:p>
    <w:p w14:paraId="614A59CB" w14:textId="33C9D53C" w:rsidR="007F323F" w:rsidRPr="009D4E84" w:rsidRDefault="007F323F" w:rsidP="007F323F">
      <w:pPr>
        <w:rPr>
          <w:rFonts w:ascii="Calibri" w:eastAsia="Calibri" w:hAnsi="Calibri" w:cs="Calibri"/>
          <w:color w:val="000000" w:themeColor="text1"/>
        </w:rPr>
      </w:pPr>
      <w:r w:rsidRPr="007F323F">
        <w:rPr>
          <w:rFonts w:ascii="Calibri" w:eastAsia="Calibri" w:hAnsi="Calibri" w:cs="Calibri"/>
          <w:color w:val="000000" w:themeColor="text1"/>
        </w:rPr>
        <w:t>T&amp;S - Academic colleagues on Teaching and Scholarship contracts</w:t>
      </w:r>
    </w:p>
    <w:sectPr w:rsidR="007F323F" w:rsidRPr="009D4E84" w:rsidSect="0070471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991FC6" w14:textId="77777777" w:rsidR="008275D2" w:rsidRDefault="008275D2">
      <w:pPr>
        <w:spacing w:after="0" w:line="240" w:lineRule="auto"/>
      </w:pPr>
      <w:r>
        <w:separator/>
      </w:r>
    </w:p>
  </w:endnote>
  <w:endnote w:type="continuationSeparator" w:id="0">
    <w:p w14:paraId="1C3A7672" w14:textId="77777777" w:rsidR="008275D2" w:rsidRDefault="008275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008275D2" w14:paraId="2ECA2BF2" w14:textId="77777777" w:rsidTr="53766C39">
      <w:tc>
        <w:tcPr>
          <w:tcW w:w="3005" w:type="dxa"/>
        </w:tcPr>
        <w:p w14:paraId="297C7791" w14:textId="15C2D025" w:rsidR="008275D2" w:rsidRDefault="008275D2" w:rsidP="53766C39">
          <w:pPr>
            <w:pStyle w:val="Header"/>
            <w:ind w:left="-115"/>
          </w:pPr>
        </w:p>
      </w:tc>
      <w:tc>
        <w:tcPr>
          <w:tcW w:w="3005" w:type="dxa"/>
        </w:tcPr>
        <w:p w14:paraId="5A74816F" w14:textId="77FDF0AB" w:rsidR="008275D2" w:rsidRDefault="008275D2" w:rsidP="53766C39">
          <w:pPr>
            <w:pStyle w:val="Header"/>
            <w:jc w:val="center"/>
          </w:pPr>
        </w:p>
      </w:tc>
      <w:tc>
        <w:tcPr>
          <w:tcW w:w="3005" w:type="dxa"/>
        </w:tcPr>
        <w:p w14:paraId="5105200E" w14:textId="471E0170" w:rsidR="008275D2" w:rsidRDefault="008275D2" w:rsidP="53766C39">
          <w:pPr>
            <w:pStyle w:val="Header"/>
            <w:ind w:right="-115"/>
            <w:jc w:val="right"/>
          </w:pPr>
        </w:p>
      </w:tc>
    </w:tr>
  </w:tbl>
  <w:p w14:paraId="38BF3943" w14:textId="71B3D92F" w:rsidR="008275D2" w:rsidRDefault="008275D2" w:rsidP="53766C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BA999" w14:textId="77777777" w:rsidR="008275D2" w:rsidRDefault="008275D2">
      <w:pPr>
        <w:spacing w:after="0" w:line="240" w:lineRule="auto"/>
      </w:pPr>
      <w:r>
        <w:separator/>
      </w:r>
    </w:p>
  </w:footnote>
  <w:footnote w:type="continuationSeparator" w:id="0">
    <w:p w14:paraId="6706233E" w14:textId="77777777" w:rsidR="008275D2" w:rsidRDefault="008275D2">
      <w:pPr>
        <w:spacing w:after="0" w:line="240" w:lineRule="auto"/>
      </w:pPr>
      <w:r>
        <w:continuationSeparator/>
      </w:r>
    </w:p>
  </w:footnote>
  <w:footnote w:id="1">
    <w:p w14:paraId="5FA9004F" w14:textId="6FAFFCC4" w:rsidR="001D1E7C" w:rsidRDefault="001D1E7C">
      <w:pPr>
        <w:pStyle w:val="FootnoteText"/>
      </w:pPr>
      <w:r>
        <w:rPr>
          <w:rStyle w:val="FootnoteReference"/>
        </w:rPr>
        <w:footnoteRef/>
      </w:r>
      <w:r>
        <w:t xml:space="preserve"> </w:t>
      </w:r>
      <w:r w:rsidRPr="001D1E7C">
        <w:t>See: Advance HE’s 2022 Equality in Higher Education Statistical Report.</w:t>
      </w:r>
    </w:p>
  </w:footnote>
  <w:footnote w:id="2">
    <w:p w14:paraId="0B0A33C3" w14:textId="57BD34BD" w:rsidR="004D4E6B" w:rsidRDefault="004D4E6B">
      <w:pPr>
        <w:pStyle w:val="FootnoteText"/>
      </w:pPr>
      <w:r>
        <w:rPr>
          <w:rStyle w:val="FootnoteReference"/>
        </w:rPr>
        <w:footnoteRef/>
      </w:r>
      <w:r>
        <w:t xml:space="preserve"> </w:t>
      </w:r>
      <w:r w:rsidRPr="004D4E6B">
        <w:t xml:space="preserve">In regard to ethnicity, within our workforce diversity section (4) we report on mid-level combined ethnic categories where numbers allow (see Appendix 1 for the categories). Additionally, and where numbers are too small for more granular analysis, we aggregate all colleagues who identified as being from an ethnicity other than white into the grouping ‘minoritised ethnic </w:t>
      </w:r>
      <w:proofErr w:type="gramStart"/>
      <w:r w:rsidRPr="004D4E6B">
        <w:t>backgrounds’</w:t>
      </w:r>
      <w:proofErr w:type="gramEnd"/>
      <w:r w:rsidRPr="004D4E6B">
        <w:t>. It should be noted that we do not currently have a category for white minority/other white backgrounds in our system, so colleagues who identify as being from a minoritised white background may have identified as ‘other ethnicity’, which has been included in the grouping ‘minoritised ethnic backgrounds’ or may have identified as white and be included in the white grouping. We recognise the limitations of an assumption that minority ethnic colleagues are a homogenous group, but our approach, as we nuance it further with time, will allow us to identify patterns of marginalisation relating to ethnicity.</w:t>
      </w:r>
      <w:r>
        <w:t xml:space="preserve"> </w:t>
      </w:r>
    </w:p>
  </w:footnote>
  <w:footnote w:id="3">
    <w:p w14:paraId="3BE8F445" w14:textId="35165B56" w:rsidR="008275D2" w:rsidRDefault="008275D2" w:rsidP="3905B53E">
      <w:r w:rsidRPr="3905B53E">
        <w:rPr>
          <w:rStyle w:val="FootnoteReference"/>
          <w:sz w:val="20"/>
          <w:szCs w:val="20"/>
        </w:rPr>
        <w:footnoteRef/>
      </w:r>
      <w:r w:rsidRPr="3905B53E">
        <w:rPr>
          <w:sz w:val="20"/>
          <w:szCs w:val="20"/>
        </w:rPr>
        <w:t xml:space="preserve"> </w:t>
      </w:r>
      <w:r w:rsidRPr="00770589">
        <w:rPr>
          <w:sz w:val="18"/>
          <w:szCs w:val="18"/>
        </w:rPr>
        <w:t>The terminology for this characteristic in the Equality Act 2010 is gender reassignment, but we use gender affirmation to be more inclusive and on the advice of our Rainbow@Ncl network.</w:t>
      </w:r>
    </w:p>
  </w:footnote>
  <w:footnote w:id="4">
    <w:p w14:paraId="7E935777" w14:textId="48DDF45E" w:rsidR="008275D2" w:rsidRDefault="008275D2">
      <w:pPr>
        <w:pStyle w:val="FootnoteText"/>
      </w:pPr>
      <w:r>
        <w:rPr>
          <w:rStyle w:val="FootnoteReference"/>
        </w:rPr>
        <w:footnoteRef/>
      </w:r>
      <w:r>
        <w:t xml:space="preserve"> </w:t>
      </w:r>
      <w:r w:rsidRPr="00184753">
        <w:t>We report on data pertaining to colleagues’ sex (female/male) rather than their gender (e.g., man/woman/non-binary) as this is what the University currently collects from colleagues. Therefore, we use the language of female/male colleagues to describe our sex data in this report. We recognise sex does not equate with gender and that gender is not binary, and we aspire to enhance our data collection and reporting on gender data in the future.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008275D2" w14:paraId="2F4D07DE" w14:textId="77777777" w:rsidTr="53766C39">
      <w:tc>
        <w:tcPr>
          <w:tcW w:w="3005" w:type="dxa"/>
        </w:tcPr>
        <w:p w14:paraId="5944142F" w14:textId="0FE4EAF4" w:rsidR="008275D2" w:rsidRDefault="008275D2" w:rsidP="53766C39">
          <w:pPr>
            <w:pStyle w:val="Header"/>
            <w:ind w:left="-115"/>
          </w:pPr>
        </w:p>
      </w:tc>
      <w:tc>
        <w:tcPr>
          <w:tcW w:w="3005" w:type="dxa"/>
        </w:tcPr>
        <w:p w14:paraId="39612B07" w14:textId="16D0DE34" w:rsidR="008275D2" w:rsidRDefault="008275D2" w:rsidP="53766C39">
          <w:pPr>
            <w:pStyle w:val="Header"/>
            <w:jc w:val="center"/>
          </w:pPr>
        </w:p>
      </w:tc>
      <w:tc>
        <w:tcPr>
          <w:tcW w:w="3005" w:type="dxa"/>
        </w:tcPr>
        <w:p w14:paraId="07020619" w14:textId="67EF86B7" w:rsidR="008275D2" w:rsidRDefault="008275D2" w:rsidP="53766C39">
          <w:pPr>
            <w:pStyle w:val="Header"/>
            <w:ind w:right="-115"/>
            <w:jc w:val="right"/>
          </w:pPr>
          <w:r>
            <w:rPr>
              <w:color w:val="2B579A"/>
              <w:shd w:val="clear" w:color="auto" w:fill="E6E6E6"/>
            </w:rPr>
            <w:fldChar w:fldCharType="begin"/>
          </w:r>
          <w:r>
            <w:instrText>PAGE</w:instrText>
          </w:r>
          <w:r>
            <w:rPr>
              <w:color w:val="2B579A"/>
              <w:shd w:val="clear" w:color="auto" w:fill="E6E6E6"/>
            </w:rPr>
            <w:fldChar w:fldCharType="separate"/>
          </w:r>
          <w:r>
            <w:rPr>
              <w:noProof/>
            </w:rPr>
            <w:t>18</w:t>
          </w:r>
          <w:r>
            <w:rPr>
              <w:color w:val="2B579A"/>
              <w:shd w:val="clear" w:color="auto" w:fill="E6E6E6"/>
            </w:rPr>
            <w:fldChar w:fldCharType="end"/>
          </w:r>
        </w:p>
      </w:tc>
    </w:tr>
  </w:tbl>
  <w:p w14:paraId="1F63F571" w14:textId="19F1E16A" w:rsidR="008275D2" w:rsidRDefault="008275D2" w:rsidP="53766C39">
    <w:pPr>
      <w:pStyle w:val="Header"/>
    </w:pPr>
  </w:p>
</w:hdr>
</file>

<file path=word/intelligence.xml><?xml version="1.0" encoding="utf-8"?>
<int:Intelligence xmlns:int="http://schemas.microsoft.com/office/intelligence/2019/intelligence">
  <int:IntelligenceSettings/>
  <int:Manifest>
    <int:ParagraphRange paragraphId="891123688" textId="822396243" start="198" length="6" invalidationStart="198" invalidationLength="6" id="6+d0vDig"/>
    <int:ParagraphRange paragraphId="1261617090" textId="1696834810" start="25" length="4" invalidationStart="25" invalidationLength="4" id="lrEIyCx1"/>
    <int:WordHash hashCode="dw3yyyqhlW4vdO" id="2F38jfDi"/>
    <int:WordHash hashCode="CIzEkdJ0/bblq0" id="yihbhH4j"/>
    <int:WordHash hashCode="ZD4DPyxyvbq3AT" id="4EhpTaY+"/>
    <int:WordHash hashCode="xgDzA50uAYUN6A" id="sgfAwpl5"/>
    <int:ParagraphRange paragraphId="14294476" textId="2079308271" start="18" length="10" invalidationStart="18" invalidationLength="10" id="zqwVbQf3"/>
    <int:ParagraphRange paragraphId="14294476" textId="2079308271" start="93" length="10" invalidationStart="93" invalidationLength="10" id="doq/7elg"/>
    <int:WordHash hashCode="wH3GyqYnEV/CIi" id="cKjjzXdJ"/>
    <int:WordHash hashCode="++LnECCN0LjQ0z" id="j5tSqUcZ"/>
    <int:WordHash hashCode="NhbXIKO1UDEA1V" id="8u6CWPEY"/>
    <int:WordHash hashCode="OrtZNwJC/JiGrS" id="Azf9szVX"/>
    <int:ParagraphRange paragraphId="1669458061" textId="2046818328" start="174" length="6" invalidationStart="174" invalidationLength="6" id="aqQ1BFT4"/>
    <int:ParagraphRange paragraphId="845603271" textId="380333439" start="112" length="6" invalidationStart="112" invalidationLength="6" id="JxjPYquR"/>
    <int:ParagraphRange paragraphId="292498394" textId="1644756037" start="332" length="3" invalidationStart="332" invalidationLength="3" id="inyXYZoZ"/>
    <int:ParagraphRange paragraphId="14294476" textId="1418955366" start="18" length="10" invalidationStart="18" invalidationLength="10" id="9jNj/LxE"/>
    <int:ParagraphRange paragraphId="30665319" textId="879191350" start="177" length="6" invalidationStart="177" invalidationLength="6" id="2arJWxon"/>
    <int:ParagraphRange paragraphId="1265526946" textId="1501390837" start="136" length="10" invalidationStart="136" invalidationLength="10" id="NXCz6THh"/>
    <int:WordHash hashCode="RoHRJMxsS3O6q/" id="5Lp+hpJ3"/>
  </int:Manifest>
  <int:Observations>
    <int:Content id="6+d0vDig">
      <int:Rejection type="LegacyProofing"/>
    </int:Content>
    <int:Content id="lrEIyCx1">
      <int:Rejection type="LegacyProofing"/>
    </int:Content>
    <int:Content id="2F38jfDi">
      <int:Rejection type="LegacyProofing"/>
    </int:Content>
    <int:Content id="yihbhH4j">
      <int:Rejection type="AugLoop_Text_Critique"/>
    </int:Content>
    <int:Content id="4EhpTaY+">
      <int:Rejection type="AugLoop_Text_Critique"/>
    </int:Content>
    <int:Content id="sgfAwpl5">
      <int:Rejection type="AugLoop_Text_Critique"/>
    </int:Content>
    <int:Content id="zqwVbQf3">
      <int:Rejection type="LegacyProofing"/>
    </int:Content>
    <int:Content id="doq/7elg">
      <int:Rejection type="LegacyProofing"/>
    </int:Content>
    <int:Content id="cKjjzXdJ">
      <int:Rejection type="AugLoop_Text_Critique"/>
    </int:Content>
    <int:Content id="j5tSqUcZ">
      <int:Rejection type="AugLoop_Text_Critique"/>
    </int:Content>
    <int:Content id="8u6CWPEY">
      <int:Rejection type="AugLoop_Text_Critique"/>
    </int:Content>
    <int:Content id="Azf9szVX">
      <int:Rejection type="LegacyProofing"/>
    </int:Content>
    <int:Content id="aqQ1BFT4">
      <int:Rejection type="LegacyProofing"/>
    </int:Content>
    <int:Content id="JxjPYquR">
      <int:Rejection type="LegacyProofing"/>
    </int:Content>
    <int:Content id="inyXYZoZ">
      <int:Rejection type="LegacyProofing"/>
    </int:Content>
    <int:Content id="9jNj/LxE">
      <int:Rejection type="LegacyProofing"/>
    </int:Content>
    <int:Content id="2arJWxon">
      <int:Rejection type="LegacyProofing"/>
    </int:Content>
    <int:Content id="NXCz6THh">
      <int:Rejection type="LegacyProofing"/>
    </int:Content>
    <int:Content id="5Lp+hpJ3">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D7C1E"/>
    <w:multiLevelType w:val="hybridMultilevel"/>
    <w:tmpl w:val="B2982934"/>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46A0642"/>
    <w:multiLevelType w:val="hybridMultilevel"/>
    <w:tmpl w:val="7230103E"/>
    <w:lvl w:ilvl="0" w:tplc="08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84F6502"/>
    <w:multiLevelType w:val="hybridMultilevel"/>
    <w:tmpl w:val="BD54B29E"/>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8782270"/>
    <w:multiLevelType w:val="hybridMultilevel"/>
    <w:tmpl w:val="91DAE3BC"/>
    <w:lvl w:ilvl="0" w:tplc="08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4" w15:restartNumberingAfterBreak="0">
    <w:nsid w:val="0AB20FBA"/>
    <w:multiLevelType w:val="hybridMultilevel"/>
    <w:tmpl w:val="37E8363C"/>
    <w:lvl w:ilvl="0" w:tplc="08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C0C62D1"/>
    <w:multiLevelType w:val="hybridMultilevel"/>
    <w:tmpl w:val="DAA8F5D4"/>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F4572C2"/>
    <w:multiLevelType w:val="hybridMultilevel"/>
    <w:tmpl w:val="E804862C"/>
    <w:lvl w:ilvl="0" w:tplc="08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7" w15:restartNumberingAfterBreak="0">
    <w:nsid w:val="12212185"/>
    <w:multiLevelType w:val="hybridMultilevel"/>
    <w:tmpl w:val="4A421E60"/>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3740E53"/>
    <w:multiLevelType w:val="hybridMultilevel"/>
    <w:tmpl w:val="7D56AE94"/>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C51B06"/>
    <w:multiLevelType w:val="hybridMultilevel"/>
    <w:tmpl w:val="B0D42E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15F45C40"/>
    <w:multiLevelType w:val="hybridMultilevel"/>
    <w:tmpl w:val="1CC4CF6C"/>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75725F5"/>
    <w:multiLevelType w:val="hybridMultilevel"/>
    <w:tmpl w:val="B912869E"/>
    <w:lvl w:ilvl="0" w:tplc="08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2" w15:restartNumberingAfterBreak="0">
    <w:nsid w:val="18DE3624"/>
    <w:multiLevelType w:val="hybridMultilevel"/>
    <w:tmpl w:val="5E56A43E"/>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A6F5425"/>
    <w:multiLevelType w:val="hybridMultilevel"/>
    <w:tmpl w:val="C9F09BDA"/>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1C1A44EE"/>
    <w:multiLevelType w:val="hybridMultilevel"/>
    <w:tmpl w:val="AC106430"/>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1C786D6F"/>
    <w:multiLevelType w:val="hybridMultilevel"/>
    <w:tmpl w:val="EE0C02D2"/>
    <w:lvl w:ilvl="0" w:tplc="7F427470">
      <w:start w:val="1"/>
      <w:numFmt w:val="decimal"/>
      <w:lvlText w:val="%1."/>
      <w:lvlJc w:val="left"/>
      <w:pPr>
        <w:ind w:left="720" w:hanging="360"/>
      </w:pPr>
      <w:rPr>
        <w:b w:val="0"/>
        <w:bCs w:val="0"/>
      </w:rPr>
    </w:lvl>
    <w:lvl w:ilvl="1" w:tplc="88B4D010">
      <w:start w:val="1"/>
      <w:numFmt w:val="lowerLetter"/>
      <w:lvlText w:val="%2."/>
      <w:lvlJc w:val="left"/>
      <w:pPr>
        <w:ind w:left="1440" w:hanging="360"/>
      </w:pPr>
    </w:lvl>
    <w:lvl w:ilvl="2" w:tplc="8996C7F2">
      <w:start w:val="1"/>
      <w:numFmt w:val="lowerRoman"/>
      <w:lvlText w:val="%3."/>
      <w:lvlJc w:val="right"/>
      <w:pPr>
        <w:ind w:left="2160" w:hanging="180"/>
      </w:pPr>
    </w:lvl>
    <w:lvl w:ilvl="3" w:tplc="212E6A1E">
      <w:start w:val="1"/>
      <w:numFmt w:val="decimal"/>
      <w:lvlText w:val="%4."/>
      <w:lvlJc w:val="left"/>
      <w:pPr>
        <w:ind w:left="2880" w:hanging="360"/>
      </w:pPr>
    </w:lvl>
    <w:lvl w:ilvl="4" w:tplc="890C335C">
      <w:start w:val="1"/>
      <w:numFmt w:val="lowerLetter"/>
      <w:lvlText w:val="%5."/>
      <w:lvlJc w:val="left"/>
      <w:pPr>
        <w:ind w:left="3600" w:hanging="360"/>
      </w:pPr>
    </w:lvl>
    <w:lvl w:ilvl="5" w:tplc="A5CE4DE2">
      <w:start w:val="1"/>
      <w:numFmt w:val="lowerRoman"/>
      <w:lvlText w:val="%6."/>
      <w:lvlJc w:val="right"/>
      <w:pPr>
        <w:ind w:left="4320" w:hanging="180"/>
      </w:pPr>
    </w:lvl>
    <w:lvl w:ilvl="6" w:tplc="3258BD0E">
      <w:start w:val="1"/>
      <w:numFmt w:val="decimal"/>
      <w:lvlText w:val="%7."/>
      <w:lvlJc w:val="left"/>
      <w:pPr>
        <w:ind w:left="5040" w:hanging="360"/>
      </w:pPr>
    </w:lvl>
    <w:lvl w:ilvl="7" w:tplc="5F4C7D8C">
      <w:start w:val="1"/>
      <w:numFmt w:val="lowerLetter"/>
      <w:lvlText w:val="%8."/>
      <w:lvlJc w:val="left"/>
      <w:pPr>
        <w:ind w:left="5760" w:hanging="360"/>
      </w:pPr>
    </w:lvl>
    <w:lvl w:ilvl="8" w:tplc="C9C62658">
      <w:start w:val="1"/>
      <w:numFmt w:val="lowerRoman"/>
      <w:lvlText w:val="%9."/>
      <w:lvlJc w:val="right"/>
      <w:pPr>
        <w:ind w:left="6480" w:hanging="180"/>
      </w:pPr>
    </w:lvl>
  </w:abstractNum>
  <w:abstractNum w:abstractNumId="16" w15:restartNumberingAfterBreak="0">
    <w:nsid w:val="1DE91CC5"/>
    <w:multiLevelType w:val="hybridMultilevel"/>
    <w:tmpl w:val="CD04AB04"/>
    <w:lvl w:ilvl="0" w:tplc="08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7" w15:restartNumberingAfterBreak="0">
    <w:nsid w:val="1DF151AE"/>
    <w:multiLevelType w:val="hybridMultilevel"/>
    <w:tmpl w:val="9FD421A2"/>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E277ABF"/>
    <w:multiLevelType w:val="hybridMultilevel"/>
    <w:tmpl w:val="380ECA34"/>
    <w:lvl w:ilvl="0" w:tplc="08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1F7A3752"/>
    <w:multiLevelType w:val="hybridMultilevel"/>
    <w:tmpl w:val="7430DEAA"/>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20A34299"/>
    <w:multiLevelType w:val="hybridMultilevel"/>
    <w:tmpl w:val="CEF29FD8"/>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24EA579C"/>
    <w:multiLevelType w:val="hybridMultilevel"/>
    <w:tmpl w:val="7BE227B2"/>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264D0B78"/>
    <w:multiLevelType w:val="hybridMultilevel"/>
    <w:tmpl w:val="3E26B84A"/>
    <w:lvl w:ilvl="0" w:tplc="08090005">
      <w:start w:val="1"/>
      <w:numFmt w:val="bullet"/>
      <w:lvlText w:val=""/>
      <w:lvlJc w:val="left"/>
      <w:pPr>
        <w:ind w:left="1080" w:hanging="72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28B556F4"/>
    <w:multiLevelType w:val="hybridMultilevel"/>
    <w:tmpl w:val="CDC6A238"/>
    <w:lvl w:ilvl="0" w:tplc="08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4" w15:restartNumberingAfterBreak="0">
    <w:nsid w:val="2906052A"/>
    <w:multiLevelType w:val="hybridMultilevel"/>
    <w:tmpl w:val="7C80B526"/>
    <w:lvl w:ilvl="0" w:tplc="EA4CEB9C">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BBD2FFB"/>
    <w:multiLevelType w:val="hybridMultilevel"/>
    <w:tmpl w:val="DFE01CE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CFE5770"/>
    <w:multiLevelType w:val="hybridMultilevel"/>
    <w:tmpl w:val="63F058E0"/>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37D05980"/>
    <w:multiLevelType w:val="hybridMultilevel"/>
    <w:tmpl w:val="BAC0F37C"/>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DCD1EAE"/>
    <w:multiLevelType w:val="hybridMultilevel"/>
    <w:tmpl w:val="05E0DB4C"/>
    <w:lvl w:ilvl="0" w:tplc="08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9" w15:restartNumberingAfterBreak="0">
    <w:nsid w:val="3DD26FC5"/>
    <w:multiLevelType w:val="hybridMultilevel"/>
    <w:tmpl w:val="4CD613A2"/>
    <w:lvl w:ilvl="0" w:tplc="0D4C9B46">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3F5676B8"/>
    <w:multiLevelType w:val="hybridMultilevel"/>
    <w:tmpl w:val="F162DA06"/>
    <w:lvl w:ilvl="0" w:tplc="08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3FD87993"/>
    <w:multiLevelType w:val="hybridMultilevel"/>
    <w:tmpl w:val="81422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1371DE0"/>
    <w:multiLevelType w:val="hybridMultilevel"/>
    <w:tmpl w:val="9EDA85F0"/>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42FB5437"/>
    <w:multiLevelType w:val="hybridMultilevel"/>
    <w:tmpl w:val="1A906C22"/>
    <w:lvl w:ilvl="0" w:tplc="08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34" w15:restartNumberingAfterBreak="0">
    <w:nsid w:val="44EC5649"/>
    <w:multiLevelType w:val="hybridMultilevel"/>
    <w:tmpl w:val="D0CA6A6C"/>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45D40A4E"/>
    <w:multiLevelType w:val="hybridMultilevel"/>
    <w:tmpl w:val="FFFFFFFF"/>
    <w:lvl w:ilvl="0" w:tplc="ED8249B8">
      <w:start w:val="1"/>
      <w:numFmt w:val="bullet"/>
      <w:lvlText w:val=""/>
      <w:lvlJc w:val="left"/>
      <w:pPr>
        <w:ind w:left="720" w:hanging="360"/>
      </w:pPr>
      <w:rPr>
        <w:rFonts w:ascii="Symbol" w:hAnsi="Symbol" w:hint="default"/>
      </w:rPr>
    </w:lvl>
    <w:lvl w:ilvl="1" w:tplc="9F483C5A">
      <w:start w:val="1"/>
      <w:numFmt w:val="bullet"/>
      <w:lvlText w:val="o"/>
      <w:lvlJc w:val="left"/>
      <w:pPr>
        <w:ind w:left="1440" w:hanging="360"/>
      </w:pPr>
      <w:rPr>
        <w:rFonts w:ascii="Courier New" w:hAnsi="Courier New" w:hint="default"/>
      </w:rPr>
    </w:lvl>
    <w:lvl w:ilvl="2" w:tplc="A91AE8C6">
      <w:start w:val="1"/>
      <w:numFmt w:val="bullet"/>
      <w:lvlText w:val=""/>
      <w:lvlJc w:val="left"/>
      <w:pPr>
        <w:ind w:left="2160" w:hanging="360"/>
      </w:pPr>
      <w:rPr>
        <w:rFonts w:ascii="Wingdings" w:hAnsi="Wingdings" w:hint="default"/>
      </w:rPr>
    </w:lvl>
    <w:lvl w:ilvl="3" w:tplc="B08C90D4">
      <w:start w:val="1"/>
      <w:numFmt w:val="bullet"/>
      <w:lvlText w:val=""/>
      <w:lvlJc w:val="left"/>
      <w:pPr>
        <w:ind w:left="2880" w:hanging="360"/>
      </w:pPr>
      <w:rPr>
        <w:rFonts w:ascii="Symbol" w:hAnsi="Symbol" w:hint="default"/>
      </w:rPr>
    </w:lvl>
    <w:lvl w:ilvl="4" w:tplc="B7389456">
      <w:start w:val="1"/>
      <w:numFmt w:val="bullet"/>
      <w:lvlText w:val="o"/>
      <w:lvlJc w:val="left"/>
      <w:pPr>
        <w:ind w:left="3600" w:hanging="360"/>
      </w:pPr>
      <w:rPr>
        <w:rFonts w:ascii="Courier New" w:hAnsi="Courier New" w:hint="default"/>
      </w:rPr>
    </w:lvl>
    <w:lvl w:ilvl="5" w:tplc="19A89610">
      <w:start w:val="1"/>
      <w:numFmt w:val="bullet"/>
      <w:lvlText w:val=""/>
      <w:lvlJc w:val="left"/>
      <w:pPr>
        <w:ind w:left="4320" w:hanging="360"/>
      </w:pPr>
      <w:rPr>
        <w:rFonts w:ascii="Wingdings" w:hAnsi="Wingdings" w:hint="default"/>
      </w:rPr>
    </w:lvl>
    <w:lvl w:ilvl="6" w:tplc="4A4CB432">
      <w:start w:val="1"/>
      <w:numFmt w:val="bullet"/>
      <w:lvlText w:val=""/>
      <w:lvlJc w:val="left"/>
      <w:pPr>
        <w:ind w:left="5040" w:hanging="360"/>
      </w:pPr>
      <w:rPr>
        <w:rFonts w:ascii="Symbol" w:hAnsi="Symbol" w:hint="default"/>
      </w:rPr>
    </w:lvl>
    <w:lvl w:ilvl="7" w:tplc="81FE4CAC">
      <w:start w:val="1"/>
      <w:numFmt w:val="bullet"/>
      <w:lvlText w:val="o"/>
      <w:lvlJc w:val="left"/>
      <w:pPr>
        <w:ind w:left="5760" w:hanging="360"/>
      </w:pPr>
      <w:rPr>
        <w:rFonts w:ascii="Courier New" w:hAnsi="Courier New" w:hint="default"/>
      </w:rPr>
    </w:lvl>
    <w:lvl w:ilvl="8" w:tplc="CB8AE4D8">
      <w:start w:val="1"/>
      <w:numFmt w:val="bullet"/>
      <w:lvlText w:val=""/>
      <w:lvlJc w:val="left"/>
      <w:pPr>
        <w:ind w:left="6480" w:hanging="360"/>
      </w:pPr>
      <w:rPr>
        <w:rFonts w:ascii="Wingdings" w:hAnsi="Wingdings" w:hint="default"/>
      </w:rPr>
    </w:lvl>
  </w:abstractNum>
  <w:abstractNum w:abstractNumId="36" w15:restartNumberingAfterBreak="0">
    <w:nsid w:val="46F14E3C"/>
    <w:multiLevelType w:val="hybridMultilevel"/>
    <w:tmpl w:val="18E6939A"/>
    <w:lvl w:ilvl="0" w:tplc="08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37" w15:restartNumberingAfterBreak="0">
    <w:nsid w:val="47566FBF"/>
    <w:multiLevelType w:val="hybridMultilevel"/>
    <w:tmpl w:val="F4725BFE"/>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4AB11BD4"/>
    <w:multiLevelType w:val="hybridMultilevel"/>
    <w:tmpl w:val="1C1A6712"/>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4DA50861"/>
    <w:multiLevelType w:val="hybridMultilevel"/>
    <w:tmpl w:val="4DECC2C4"/>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4DC7111D"/>
    <w:multiLevelType w:val="hybridMultilevel"/>
    <w:tmpl w:val="4D947740"/>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4F9306CD"/>
    <w:multiLevelType w:val="hybridMultilevel"/>
    <w:tmpl w:val="50FAFEF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2844965"/>
    <w:multiLevelType w:val="hybridMultilevel"/>
    <w:tmpl w:val="250CC392"/>
    <w:lvl w:ilvl="0" w:tplc="08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556B28BE"/>
    <w:multiLevelType w:val="hybridMultilevel"/>
    <w:tmpl w:val="93EEB49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5EA451E"/>
    <w:multiLevelType w:val="hybridMultilevel"/>
    <w:tmpl w:val="33D0014A"/>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58E349FF"/>
    <w:multiLevelType w:val="hybridMultilevel"/>
    <w:tmpl w:val="CA469022"/>
    <w:lvl w:ilvl="0" w:tplc="08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46" w15:restartNumberingAfterBreak="0">
    <w:nsid w:val="59205A9A"/>
    <w:multiLevelType w:val="hybridMultilevel"/>
    <w:tmpl w:val="7922ADD0"/>
    <w:lvl w:ilvl="0" w:tplc="08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 w15:restartNumberingAfterBreak="0">
    <w:nsid w:val="5CBC525E"/>
    <w:multiLevelType w:val="hybridMultilevel"/>
    <w:tmpl w:val="EFA63334"/>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 w15:restartNumberingAfterBreak="0">
    <w:nsid w:val="5E8A2AA9"/>
    <w:multiLevelType w:val="hybridMultilevel"/>
    <w:tmpl w:val="914C8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2103849"/>
    <w:multiLevelType w:val="hybridMultilevel"/>
    <w:tmpl w:val="700E50F0"/>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 w15:restartNumberingAfterBreak="0">
    <w:nsid w:val="644D2469"/>
    <w:multiLevelType w:val="hybridMultilevel"/>
    <w:tmpl w:val="5F1E6D02"/>
    <w:lvl w:ilvl="0" w:tplc="08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1" w15:restartNumberingAfterBreak="0">
    <w:nsid w:val="65715EF6"/>
    <w:multiLevelType w:val="hybridMultilevel"/>
    <w:tmpl w:val="3EE2B4B6"/>
    <w:lvl w:ilvl="0" w:tplc="08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2" w15:restartNumberingAfterBreak="0">
    <w:nsid w:val="65747120"/>
    <w:multiLevelType w:val="hybridMultilevel"/>
    <w:tmpl w:val="FFFFFFFF"/>
    <w:lvl w:ilvl="0" w:tplc="3464428C">
      <w:start w:val="1"/>
      <w:numFmt w:val="decimal"/>
      <w:lvlText w:val="%1."/>
      <w:lvlJc w:val="left"/>
      <w:pPr>
        <w:ind w:left="720" w:hanging="360"/>
      </w:pPr>
    </w:lvl>
    <w:lvl w:ilvl="1" w:tplc="445847D0">
      <w:start w:val="1"/>
      <w:numFmt w:val="lowerLetter"/>
      <w:lvlText w:val="%2."/>
      <w:lvlJc w:val="left"/>
      <w:pPr>
        <w:ind w:left="1440" w:hanging="360"/>
      </w:pPr>
    </w:lvl>
    <w:lvl w:ilvl="2" w:tplc="625E1C1E">
      <w:start w:val="1"/>
      <w:numFmt w:val="lowerRoman"/>
      <w:lvlText w:val="%3."/>
      <w:lvlJc w:val="right"/>
      <w:pPr>
        <w:ind w:left="2160" w:hanging="180"/>
      </w:pPr>
    </w:lvl>
    <w:lvl w:ilvl="3" w:tplc="09FC7496">
      <w:start w:val="1"/>
      <w:numFmt w:val="decimal"/>
      <w:lvlText w:val="%4."/>
      <w:lvlJc w:val="left"/>
      <w:pPr>
        <w:ind w:left="2880" w:hanging="360"/>
      </w:pPr>
    </w:lvl>
    <w:lvl w:ilvl="4" w:tplc="30E2BEE4">
      <w:start w:val="1"/>
      <w:numFmt w:val="lowerLetter"/>
      <w:lvlText w:val="%5."/>
      <w:lvlJc w:val="left"/>
      <w:pPr>
        <w:ind w:left="3600" w:hanging="360"/>
      </w:pPr>
    </w:lvl>
    <w:lvl w:ilvl="5" w:tplc="C5AA91C8">
      <w:start w:val="1"/>
      <w:numFmt w:val="lowerRoman"/>
      <w:lvlText w:val="%6."/>
      <w:lvlJc w:val="right"/>
      <w:pPr>
        <w:ind w:left="4320" w:hanging="180"/>
      </w:pPr>
    </w:lvl>
    <w:lvl w:ilvl="6" w:tplc="3B849B06">
      <w:start w:val="1"/>
      <w:numFmt w:val="decimal"/>
      <w:lvlText w:val="%7."/>
      <w:lvlJc w:val="left"/>
      <w:pPr>
        <w:ind w:left="5040" w:hanging="360"/>
      </w:pPr>
    </w:lvl>
    <w:lvl w:ilvl="7" w:tplc="9F60CA04">
      <w:start w:val="1"/>
      <w:numFmt w:val="lowerLetter"/>
      <w:lvlText w:val="%8."/>
      <w:lvlJc w:val="left"/>
      <w:pPr>
        <w:ind w:left="5760" w:hanging="360"/>
      </w:pPr>
    </w:lvl>
    <w:lvl w:ilvl="8" w:tplc="AA6EAD92">
      <w:start w:val="1"/>
      <w:numFmt w:val="lowerRoman"/>
      <w:lvlText w:val="%9."/>
      <w:lvlJc w:val="right"/>
      <w:pPr>
        <w:ind w:left="6480" w:hanging="180"/>
      </w:pPr>
    </w:lvl>
  </w:abstractNum>
  <w:abstractNum w:abstractNumId="53" w15:restartNumberingAfterBreak="0">
    <w:nsid w:val="6764454E"/>
    <w:multiLevelType w:val="hybridMultilevel"/>
    <w:tmpl w:val="F140BF2E"/>
    <w:lvl w:ilvl="0" w:tplc="08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54" w15:restartNumberingAfterBreak="0">
    <w:nsid w:val="676D0D6D"/>
    <w:multiLevelType w:val="hybridMultilevel"/>
    <w:tmpl w:val="A6C2F62A"/>
    <w:lvl w:ilvl="0" w:tplc="29F6478E">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684F5DC9"/>
    <w:multiLevelType w:val="hybridMultilevel"/>
    <w:tmpl w:val="D7962AB6"/>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6" w15:restartNumberingAfterBreak="0">
    <w:nsid w:val="6BA26C80"/>
    <w:multiLevelType w:val="hybridMultilevel"/>
    <w:tmpl w:val="B6DEDE22"/>
    <w:lvl w:ilvl="0" w:tplc="8C6EC732">
      <w:start w:val="1"/>
      <w:numFmt w:val="decimal"/>
      <w:lvlText w:val="%1."/>
      <w:lvlJc w:val="left"/>
      <w:pPr>
        <w:ind w:left="720" w:hanging="360"/>
      </w:pPr>
    </w:lvl>
    <w:lvl w:ilvl="1" w:tplc="5B6E012E">
      <w:start w:val="1"/>
      <w:numFmt w:val="lowerLetter"/>
      <w:lvlText w:val="%2."/>
      <w:lvlJc w:val="left"/>
      <w:pPr>
        <w:ind w:left="1440" w:hanging="360"/>
      </w:pPr>
    </w:lvl>
    <w:lvl w:ilvl="2" w:tplc="AFB677B0">
      <w:start w:val="1"/>
      <w:numFmt w:val="lowerRoman"/>
      <w:lvlText w:val="%3."/>
      <w:lvlJc w:val="right"/>
      <w:pPr>
        <w:ind w:left="2160" w:hanging="180"/>
      </w:pPr>
    </w:lvl>
    <w:lvl w:ilvl="3" w:tplc="023C1772">
      <w:start w:val="1"/>
      <w:numFmt w:val="decimal"/>
      <w:lvlText w:val="%4."/>
      <w:lvlJc w:val="left"/>
      <w:pPr>
        <w:ind w:left="2880" w:hanging="360"/>
      </w:pPr>
    </w:lvl>
    <w:lvl w:ilvl="4" w:tplc="D3723654">
      <w:start w:val="1"/>
      <w:numFmt w:val="lowerLetter"/>
      <w:lvlText w:val="%5."/>
      <w:lvlJc w:val="left"/>
      <w:pPr>
        <w:ind w:left="3600" w:hanging="360"/>
      </w:pPr>
    </w:lvl>
    <w:lvl w:ilvl="5" w:tplc="C562CC8A">
      <w:start w:val="1"/>
      <w:numFmt w:val="lowerRoman"/>
      <w:lvlText w:val="%6."/>
      <w:lvlJc w:val="right"/>
      <w:pPr>
        <w:ind w:left="4320" w:hanging="180"/>
      </w:pPr>
    </w:lvl>
    <w:lvl w:ilvl="6" w:tplc="8222CFCE">
      <w:start w:val="1"/>
      <w:numFmt w:val="decimal"/>
      <w:lvlText w:val="%7."/>
      <w:lvlJc w:val="left"/>
      <w:pPr>
        <w:ind w:left="5040" w:hanging="360"/>
      </w:pPr>
    </w:lvl>
    <w:lvl w:ilvl="7" w:tplc="A87C4086">
      <w:start w:val="1"/>
      <w:numFmt w:val="lowerLetter"/>
      <w:lvlText w:val="%8."/>
      <w:lvlJc w:val="left"/>
      <w:pPr>
        <w:ind w:left="5760" w:hanging="360"/>
      </w:pPr>
    </w:lvl>
    <w:lvl w:ilvl="8" w:tplc="AB8EF80E">
      <w:start w:val="1"/>
      <w:numFmt w:val="lowerRoman"/>
      <w:lvlText w:val="%9."/>
      <w:lvlJc w:val="right"/>
      <w:pPr>
        <w:ind w:left="6480" w:hanging="180"/>
      </w:pPr>
    </w:lvl>
  </w:abstractNum>
  <w:abstractNum w:abstractNumId="57" w15:restartNumberingAfterBreak="0">
    <w:nsid w:val="70A24C94"/>
    <w:multiLevelType w:val="hybridMultilevel"/>
    <w:tmpl w:val="CF5481AC"/>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75FD3B1B"/>
    <w:multiLevelType w:val="hybridMultilevel"/>
    <w:tmpl w:val="0E9016F0"/>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9" w15:restartNumberingAfterBreak="0">
    <w:nsid w:val="788554F7"/>
    <w:multiLevelType w:val="hybridMultilevel"/>
    <w:tmpl w:val="58C4EFF8"/>
    <w:lvl w:ilvl="0" w:tplc="08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0" w15:restartNumberingAfterBreak="0">
    <w:nsid w:val="7F4C586F"/>
    <w:multiLevelType w:val="hybridMultilevel"/>
    <w:tmpl w:val="C76AC0A4"/>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1" w15:restartNumberingAfterBreak="0">
    <w:nsid w:val="7FE84643"/>
    <w:multiLevelType w:val="hybridMultilevel"/>
    <w:tmpl w:val="A4D28AE8"/>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739136855">
    <w:abstractNumId w:val="15"/>
  </w:num>
  <w:num w:numId="2" w16cid:durableId="1691178647">
    <w:abstractNumId w:val="56"/>
  </w:num>
  <w:num w:numId="3" w16cid:durableId="556018811">
    <w:abstractNumId w:val="52"/>
  </w:num>
  <w:num w:numId="4" w16cid:durableId="1403135341">
    <w:abstractNumId w:val="35"/>
  </w:num>
  <w:num w:numId="5" w16cid:durableId="2106411868">
    <w:abstractNumId w:val="9"/>
  </w:num>
  <w:num w:numId="6" w16cid:durableId="1807699444">
    <w:abstractNumId w:val="48"/>
  </w:num>
  <w:num w:numId="7" w16cid:durableId="657657670">
    <w:abstractNumId w:val="31"/>
  </w:num>
  <w:num w:numId="8" w16cid:durableId="473376864">
    <w:abstractNumId w:val="54"/>
  </w:num>
  <w:num w:numId="9" w16cid:durableId="857356929">
    <w:abstractNumId w:val="24"/>
  </w:num>
  <w:num w:numId="10" w16cid:durableId="729618611">
    <w:abstractNumId w:val="29"/>
  </w:num>
  <w:num w:numId="11" w16cid:durableId="1329015922">
    <w:abstractNumId w:val="2"/>
  </w:num>
  <w:num w:numId="12" w16cid:durableId="933632512">
    <w:abstractNumId w:val="22"/>
  </w:num>
  <w:num w:numId="13" w16cid:durableId="1512455988">
    <w:abstractNumId w:val="60"/>
  </w:num>
  <w:num w:numId="14" w16cid:durableId="948005706">
    <w:abstractNumId w:val="1"/>
  </w:num>
  <w:num w:numId="15" w16cid:durableId="1823884488">
    <w:abstractNumId w:val="16"/>
  </w:num>
  <w:num w:numId="16" w16cid:durableId="77682041">
    <w:abstractNumId w:val="19"/>
  </w:num>
  <w:num w:numId="17" w16cid:durableId="1111361047">
    <w:abstractNumId w:val="21"/>
  </w:num>
  <w:num w:numId="18" w16cid:durableId="1038118583">
    <w:abstractNumId w:val="59"/>
  </w:num>
  <w:num w:numId="19" w16cid:durableId="187262758">
    <w:abstractNumId w:val="23"/>
  </w:num>
  <w:num w:numId="20" w16cid:durableId="1275867896">
    <w:abstractNumId w:val="44"/>
  </w:num>
  <w:num w:numId="21" w16cid:durableId="150492388">
    <w:abstractNumId w:val="34"/>
  </w:num>
  <w:num w:numId="22" w16cid:durableId="1648437686">
    <w:abstractNumId w:val="13"/>
  </w:num>
  <w:num w:numId="23" w16cid:durableId="123156471">
    <w:abstractNumId w:val="50"/>
  </w:num>
  <w:num w:numId="24" w16cid:durableId="514226121">
    <w:abstractNumId w:val="39"/>
  </w:num>
  <w:num w:numId="25" w16cid:durableId="874316329">
    <w:abstractNumId w:val="18"/>
  </w:num>
  <w:num w:numId="26" w16cid:durableId="608896986">
    <w:abstractNumId w:val="57"/>
  </w:num>
  <w:num w:numId="27" w16cid:durableId="1217820484">
    <w:abstractNumId w:val="27"/>
  </w:num>
  <w:num w:numId="28" w16cid:durableId="508757097">
    <w:abstractNumId w:val="43"/>
  </w:num>
  <w:num w:numId="29" w16cid:durableId="168758269">
    <w:abstractNumId w:val="33"/>
  </w:num>
  <w:num w:numId="30" w16cid:durableId="228661681">
    <w:abstractNumId w:val="41"/>
  </w:num>
  <w:num w:numId="31" w16cid:durableId="608009944">
    <w:abstractNumId w:val="47"/>
  </w:num>
  <w:num w:numId="32" w16cid:durableId="1520242252">
    <w:abstractNumId w:val="51"/>
  </w:num>
  <w:num w:numId="33" w16cid:durableId="1017461679">
    <w:abstractNumId w:val="5"/>
  </w:num>
  <w:num w:numId="34" w16cid:durableId="280458301">
    <w:abstractNumId w:val="4"/>
  </w:num>
  <w:num w:numId="35" w16cid:durableId="968169826">
    <w:abstractNumId w:val="58"/>
  </w:num>
  <w:num w:numId="36" w16cid:durableId="108205815">
    <w:abstractNumId w:val="46"/>
  </w:num>
  <w:num w:numId="37" w16cid:durableId="878667937">
    <w:abstractNumId w:val="40"/>
  </w:num>
  <w:num w:numId="38" w16cid:durableId="407459139">
    <w:abstractNumId w:val="7"/>
  </w:num>
  <w:num w:numId="39" w16cid:durableId="1873689341">
    <w:abstractNumId w:val="25"/>
  </w:num>
  <w:num w:numId="40" w16cid:durableId="1252620648">
    <w:abstractNumId w:val="61"/>
  </w:num>
  <w:num w:numId="41" w16cid:durableId="2001958076">
    <w:abstractNumId w:val="42"/>
  </w:num>
  <w:num w:numId="42" w16cid:durableId="1343701566">
    <w:abstractNumId w:val="30"/>
  </w:num>
  <w:num w:numId="43" w16cid:durableId="453982671">
    <w:abstractNumId w:val="36"/>
  </w:num>
  <w:num w:numId="44" w16cid:durableId="1059784389">
    <w:abstractNumId w:val="55"/>
  </w:num>
  <w:num w:numId="45" w16cid:durableId="183710325">
    <w:abstractNumId w:val="53"/>
  </w:num>
  <w:num w:numId="46" w16cid:durableId="1309826575">
    <w:abstractNumId w:val="12"/>
  </w:num>
  <w:num w:numId="47" w16cid:durableId="1466199005">
    <w:abstractNumId w:val="0"/>
  </w:num>
  <w:num w:numId="48" w16cid:durableId="1182822112">
    <w:abstractNumId w:val="32"/>
  </w:num>
  <w:num w:numId="49" w16cid:durableId="1393114666">
    <w:abstractNumId w:val="8"/>
  </w:num>
  <w:num w:numId="50" w16cid:durableId="1300694943">
    <w:abstractNumId w:val="10"/>
  </w:num>
  <w:num w:numId="51" w16cid:durableId="585455015">
    <w:abstractNumId w:val="26"/>
  </w:num>
  <w:num w:numId="52" w16cid:durableId="1072892551">
    <w:abstractNumId w:val="38"/>
  </w:num>
  <w:num w:numId="53" w16cid:durableId="1753744245">
    <w:abstractNumId w:val="3"/>
  </w:num>
  <w:num w:numId="54" w16cid:durableId="1340422434">
    <w:abstractNumId w:val="37"/>
  </w:num>
  <w:num w:numId="55" w16cid:durableId="503208479">
    <w:abstractNumId w:val="17"/>
  </w:num>
  <w:num w:numId="56" w16cid:durableId="302465353">
    <w:abstractNumId w:val="14"/>
  </w:num>
  <w:num w:numId="57" w16cid:durableId="42752604">
    <w:abstractNumId w:val="49"/>
  </w:num>
  <w:num w:numId="58" w16cid:durableId="734861058">
    <w:abstractNumId w:val="20"/>
  </w:num>
  <w:num w:numId="59" w16cid:durableId="538862641">
    <w:abstractNumId w:val="28"/>
  </w:num>
  <w:num w:numId="60" w16cid:durableId="1106458266">
    <w:abstractNumId w:val="6"/>
  </w:num>
  <w:num w:numId="61" w16cid:durableId="1718165307">
    <w:abstractNumId w:val="11"/>
  </w:num>
  <w:num w:numId="62" w16cid:durableId="1839231389">
    <w:abstractNumId w:val="45"/>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FCD"/>
    <w:rsid w:val="000001E9"/>
    <w:rsid w:val="000020F8"/>
    <w:rsid w:val="000033BB"/>
    <w:rsid w:val="0000473E"/>
    <w:rsid w:val="000052F8"/>
    <w:rsid w:val="00005FDA"/>
    <w:rsid w:val="00007EFB"/>
    <w:rsid w:val="00014796"/>
    <w:rsid w:val="000147A5"/>
    <w:rsid w:val="00020118"/>
    <w:rsid w:val="0002064F"/>
    <w:rsid w:val="00021A02"/>
    <w:rsid w:val="00023D6C"/>
    <w:rsid w:val="00025A66"/>
    <w:rsid w:val="00030CE4"/>
    <w:rsid w:val="00031E47"/>
    <w:rsid w:val="00031E7A"/>
    <w:rsid w:val="00037E06"/>
    <w:rsid w:val="000438AE"/>
    <w:rsid w:val="0004677B"/>
    <w:rsid w:val="00046BE6"/>
    <w:rsid w:val="000478D7"/>
    <w:rsid w:val="0005039F"/>
    <w:rsid w:val="000508C0"/>
    <w:rsid w:val="00050BBD"/>
    <w:rsid w:val="0005171F"/>
    <w:rsid w:val="000547F8"/>
    <w:rsid w:val="0005725D"/>
    <w:rsid w:val="000575F3"/>
    <w:rsid w:val="00057E36"/>
    <w:rsid w:val="00070473"/>
    <w:rsid w:val="00071196"/>
    <w:rsid w:val="0007298B"/>
    <w:rsid w:val="00076FB1"/>
    <w:rsid w:val="0007706F"/>
    <w:rsid w:val="000771F5"/>
    <w:rsid w:val="000773AE"/>
    <w:rsid w:val="000833AA"/>
    <w:rsid w:val="00087CB8"/>
    <w:rsid w:val="000933FA"/>
    <w:rsid w:val="00094083"/>
    <w:rsid w:val="00094350"/>
    <w:rsid w:val="000949FB"/>
    <w:rsid w:val="0009C5FD"/>
    <w:rsid w:val="000A489C"/>
    <w:rsid w:val="000A4C83"/>
    <w:rsid w:val="000A5245"/>
    <w:rsid w:val="000A74C4"/>
    <w:rsid w:val="000B2FC0"/>
    <w:rsid w:val="000B68D7"/>
    <w:rsid w:val="000C0FE8"/>
    <w:rsid w:val="000C2A4C"/>
    <w:rsid w:val="000C3DA5"/>
    <w:rsid w:val="000C5517"/>
    <w:rsid w:val="000C720E"/>
    <w:rsid w:val="000D02CC"/>
    <w:rsid w:val="000D3B71"/>
    <w:rsid w:val="000D4971"/>
    <w:rsid w:val="000D4E67"/>
    <w:rsid w:val="000D7275"/>
    <w:rsid w:val="000E0D72"/>
    <w:rsid w:val="000E0E9D"/>
    <w:rsid w:val="000E13BC"/>
    <w:rsid w:val="000E17CE"/>
    <w:rsid w:val="000E1F90"/>
    <w:rsid w:val="000E299F"/>
    <w:rsid w:val="000E569D"/>
    <w:rsid w:val="000EA289"/>
    <w:rsid w:val="000F54B6"/>
    <w:rsid w:val="000F6165"/>
    <w:rsid w:val="000F71A7"/>
    <w:rsid w:val="000F7DC8"/>
    <w:rsid w:val="00101377"/>
    <w:rsid w:val="00102EBF"/>
    <w:rsid w:val="00107D8C"/>
    <w:rsid w:val="00107DD6"/>
    <w:rsid w:val="00112FAB"/>
    <w:rsid w:val="00113E6C"/>
    <w:rsid w:val="00117E39"/>
    <w:rsid w:val="00121FCD"/>
    <w:rsid w:val="0012216C"/>
    <w:rsid w:val="0012266B"/>
    <w:rsid w:val="00123CFA"/>
    <w:rsid w:val="001242FE"/>
    <w:rsid w:val="00125217"/>
    <w:rsid w:val="001307C6"/>
    <w:rsid w:val="00130B43"/>
    <w:rsid w:val="00132A90"/>
    <w:rsid w:val="00137294"/>
    <w:rsid w:val="00137AAC"/>
    <w:rsid w:val="0013C095"/>
    <w:rsid w:val="001427DD"/>
    <w:rsid w:val="00144C06"/>
    <w:rsid w:val="00151539"/>
    <w:rsid w:val="00152DCE"/>
    <w:rsid w:val="001665DF"/>
    <w:rsid w:val="0017503A"/>
    <w:rsid w:val="00175592"/>
    <w:rsid w:val="0017643B"/>
    <w:rsid w:val="00176FFD"/>
    <w:rsid w:val="00180545"/>
    <w:rsid w:val="0018147B"/>
    <w:rsid w:val="001844E8"/>
    <w:rsid w:val="00184753"/>
    <w:rsid w:val="00184D75"/>
    <w:rsid w:val="00185DFE"/>
    <w:rsid w:val="00186353"/>
    <w:rsid w:val="0018672E"/>
    <w:rsid w:val="00186A69"/>
    <w:rsid w:val="00193601"/>
    <w:rsid w:val="0019411E"/>
    <w:rsid w:val="00196CE1"/>
    <w:rsid w:val="00197D8D"/>
    <w:rsid w:val="001A15C2"/>
    <w:rsid w:val="001A2E34"/>
    <w:rsid w:val="001A33AF"/>
    <w:rsid w:val="001A4D56"/>
    <w:rsid w:val="001A5659"/>
    <w:rsid w:val="001A7419"/>
    <w:rsid w:val="001A7493"/>
    <w:rsid w:val="001B1B6B"/>
    <w:rsid w:val="001B320F"/>
    <w:rsid w:val="001C16E1"/>
    <w:rsid w:val="001C1A17"/>
    <w:rsid w:val="001C4C6D"/>
    <w:rsid w:val="001C7DAD"/>
    <w:rsid w:val="001D1CDA"/>
    <w:rsid w:val="001D1E7C"/>
    <w:rsid w:val="001D49DF"/>
    <w:rsid w:val="001D6B16"/>
    <w:rsid w:val="001E1720"/>
    <w:rsid w:val="001E2F65"/>
    <w:rsid w:val="001E68AD"/>
    <w:rsid w:val="001E69DC"/>
    <w:rsid w:val="001E69F0"/>
    <w:rsid w:val="001E6CF9"/>
    <w:rsid w:val="001E7134"/>
    <w:rsid w:val="001E768F"/>
    <w:rsid w:val="001E7F70"/>
    <w:rsid w:val="001F3905"/>
    <w:rsid w:val="001F3A59"/>
    <w:rsid w:val="001F3C3B"/>
    <w:rsid w:val="001F4F68"/>
    <w:rsid w:val="001F502C"/>
    <w:rsid w:val="001F74C8"/>
    <w:rsid w:val="001F75AC"/>
    <w:rsid w:val="00200D69"/>
    <w:rsid w:val="0020260B"/>
    <w:rsid w:val="002128CD"/>
    <w:rsid w:val="0021629A"/>
    <w:rsid w:val="00216EE9"/>
    <w:rsid w:val="00216F7C"/>
    <w:rsid w:val="00220958"/>
    <w:rsid w:val="002224D5"/>
    <w:rsid w:val="0022270A"/>
    <w:rsid w:val="0022315C"/>
    <w:rsid w:val="0023089D"/>
    <w:rsid w:val="00230CE3"/>
    <w:rsid w:val="00230E93"/>
    <w:rsid w:val="00231C93"/>
    <w:rsid w:val="0023389F"/>
    <w:rsid w:val="002349B8"/>
    <w:rsid w:val="002352C9"/>
    <w:rsid w:val="002371F8"/>
    <w:rsid w:val="00240067"/>
    <w:rsid w:val="00241B47"/>
    <w:rsid w:val="00242666"/>
    <w:rsid w:val="00243980"/>
    <w:rsid w:val="00245587"/>
    <w:rsid w:val="0024582C"/>
    <w:rsid w:val="00250116"/>
    <w:rsid w:val="00253985"/>
    <w:rsid w:val="00253DC5"/>
    <w:rsid w:val="00256773"/>
    <w:rsid w:val="00260DAF"/>
    <w:rsid w:val="00261265"/>
    <w:rsid w:val="00266A2F"/>
    <w:rsid w:val="00266C6F"/>
    <w:rsid w:val="0027036E"/>
    <w:rsid w:val="00270A7D"/>
    <w:rsid w:val="002733EF"/>
    <w:rsid w:val="0028051F"/>
    <w:rsid w:val="00280988"/>
    <w:rsid w:val="0028103A"/>
    <w:rsid w:val="002821DB"/>
    <w:rsid w:val="00283198"/>
    <w:rsid w:val="002900E2"/>
    <w:rsid w:val="002915F8"/>
    <w:rsid w:val="002925C8"/>
    <w:rsid w:val="00293DAF"/>
    <w:rsid w:val="002956C5"/>
    <w:rsid w:val="002A3B9D"/>
    <w:rsid w:val="002A4B84"/>
    <w:rsid w:val="002B0C36"/>
    <w:rsid w:val="002B171F"/>
    <w:rsid w:val="002B2DF8"/>
    <w:rsid w:val="002B5151"/>
    <w:rsid w:val="002B76AE"/>
    <w:rsid w:val="002B7852"/>
    <w:rsid w:val="002C2EF2"/>
    <w:rsid w:val="002C7EE8"/>
    <w:rsid w:val="002D09DC"/>
    <w:rsid w:val="002D230F"/>
    <w:rsid w:val="002D2E5D"/>
    <w:rsid w:val="002D3B81"/>
    <w:rsid w:val="002D6180"/>
    <w:rsid w:val="002E0D53"/>
    <w:rsid w:val="002E0D86"/>
    <w:rsid w:val="002E2273"/>
    <w:rsid w:val="002E3742"/>
    <w:rsid w:val="002E3905"/>
    <w:rsid w:val="002E4C4A"/>
    <w:rsid w:val="002E6533"/>
    <w:rsid w:val="002E6A70"/>
    <w:rsid w:val="002F0799"/>
    <w:rsid w:val="002F0B9B"/>
    <w:rsid w:val="002F0ECC"/>
    <w:rsid w:val="002F2ED4"/>
    <w:rsid w:val="002F34E8"/>
    <w:rsid w:val="002F3EC1"/>
    <w:rsid w:val="002F4913"/>
    <w:rsid w:val="002F6A92"/>
    <w:rsid w:val="002F6FAF"/>
    <w:rsid w:val="002F7954"/>
    <w:rsid w:val="002F7E77"/>
    <w:rsid w:val="00303F81"/>
    <w:rsid w:val="0030404C"/>
    <w:rsid w:val="00304850"/>
    <w:rsid w:val="00305364"/>
    <w:rsid w:val="003070FE"/>
    <w:rsid w:val="0030770D"/>
    <w:rsid w:val="00307CED"/>
    <w:rsid w:val="003119C5"/>
    <w:rsid w:val="00311D6A"/>
    <w:rsid w:val="00311ED5"/>
    <w:rsid w:val="00312771"/>
    <w:rsid w:val="0031581E"/>
    <w:rsid w:val="0031591B"/>
    <w:rsid w:val="00317764"/>
    <w:rsid w:val="00317C37"/>
    <w:rsid w:val="0032213D"/>
    <w:rsid w:val="00322F8F"/>
    <w:rsid w:val="00326564"/>
    <w:rsid w:val="00327BCE"/>
    <w:rsid w:val="00330FDC"/>
    <w:rsid w:val="00331B45"/>
    <w:rsid w:val="003338CB"/>
    <w:rsid w:val="00333A63"/>
    <w:rsid w:val="003379C2"/>
    <w:rsid w:val="00341483"/>
    <w:rsid w:val="0034150D"/>
    <w:rsid w:val="00345A1C"/>
    <w:rsid w:val="00346CFB"/>
    <w:rsid w:val="00347874"/>
    <w:rsid w:val="00347E30"/>
    <w:rsid w:val="00353CE7"/>
    <w:rsid w:val="00355A5E"/>
    <w:rsid w:val="00356CFC"/>
    <w:rsid w:val="003601FA"/>
    <w:rsid w:val="003642EF"/>
    <w:rsid w:val="00364874"/>
    <w:rsid w:val="00366A58"/>
    <w:rsid w:val="003701BB"/>
    <w:rsid w:val="003774E9"/>
    <w:rsid w:val="00377AA0"/>
    <w:rsid w:val="003807C6"/>
    <w:rsid w:val="0038108A"/>
    <w:rsid w:val="003848EC"/>
    <w:rsid w:val="0038667F"/>
    <w:rsid w:val="00391F2E"/>
    <w:rsid w:val="00393502"/>
    <w:rsid w:val="003A2F01"/>
    <w:rsid w:val="003A691C"/>
    <w:rsid w:val="003A6D4F"/>
    <w:rsid w:val="003A76D0"/>
    <w:rsid w:val="003B108E"/>
    <w:rsid w:val="003B4F03"/>
    <w:rsid w:val="003B7146"/>
    <w:rsid w:val="003C0744"/>
    <w:rsid w:val="003C07AF"/>
    <w:rsid w:val="003C20AA"/>
    <w:rsid w:val="003C3AEE"/>
    <w:rsid w:val="003C3C4C"/>
    <w:rsid w:val="003C6734"/>
    <w:rsid w:val="003C7140"/>
    <w:rsid w:val="003D2D64"/>
    <w:rsid w:val="003D2D84"/>
    <w:rsid w:val="003D3B6E"/>
    <w:rsid w:val="003D424C"/>
    <w:rsid w:val="003D5AC4"/>
    <w:rsid w:val="003D6322"/>
    <w:rsid w:val="003D7772"/>
    <w:rsid w:val="003E1DD6"/>
    <w:rsid w:val="003E1ED6"/>
    <w:rsid w:val="003E23D3"/>
    <w:rsid w:val="003E5CDF"/>
    <w:rsid w:val="003E7F66"/>
    <w:rsid w:val="003F0507"/>
    <w:rsid w:val="003F1ACA"/>
    <w:rsid w:val="003F2C37"/>
    <w:rsid w:val="003F2DDE"/>
    <w:rsid w:val="003F64AC"/>
    <w:rsid w:val="003F7476"/>
    <w:rsid w:val="004046CC"/>
    <w:rsid w:val="00404A72"/>
    <w:rsid w:val="00405536"/>
    <w:rsid w:val="00412D02"/>
    <w:rsid w:val="0041397D"/>
    <w:rsid w:val="00416511"/>
    <w:rsid w:val="00422070"/>
    <w:rsid w:val="00424834"/>
    <w:rsid w:val="004261EA"/>
    <w:rsid w:val="00427216"/>
    <w:rsid w:val="0042778C"/>
    <w:rsid w:val="004277B1"/>
    <w:rsid w:val="004303B2"/>
    <w:rsid w:val="0043371D"/>
    <w:rsid w:val="004357ED"/>
    <w:rsid w:val="0043640F"/>
    <w:rsid w:val="00437CDC"/>
    <w:rsid w:val="00441BA4"/>
    <w:rsid w:val="00441FF1"/>
    <w:rsid w:val="0044352E"/>
    <w:rsid w:val="00443B20"/>
    <w:rsid w:val="004450A3"/>
    <w:rsid w:val="00451493"/>
    <w:rsid w:val="00451BAE"/>
    <w:rsid w:val="0045EA0A"/>
    <w:rsid w:val="004602F4"/>
    <w:rsid w:val="0046156F"/>
    <w:rsid w:val="00462FD1"/>
    <w:rsid w:val="00464277"/>
    <w:rsid w:val="00465695"/>
    <w:rsid w:val="004657D3"/>
    <w:rsid w:val="00467128"/>
    <w:rsid w:val="00467409"/>
    <w:rsid w:val="00467F78"/>
    <w:rsid w:val="0046E33C"/>
    <w:rsid w:val="00470069"/>
    <w:rsid w:val="00473D19"/>
    <w:rsid w:val="00473FAF"/>
    <w:rsid w:val="00474638"/>
    <w:rsid w:val="00474701"/>
    <w:rsid w:val="00480C2E"/>
    <w:rsid w:val="00484B1F"/>
    <w:rsid w:val="00486577"/>
    <w:rsid w:val="00486BF1"/>
    <w:rsid w:val="00491AF0"/>
    <w:rsid w:val="004921AD"/>
    <w:rsid w:val="00492495"/>
    <w:rsid w:val="00492567"/>
    <w:rsid w:val="00494672"/>
    <w:rsid w:val="004961E3"/>
    <w:rsid w:val="00496E45"/>
    <w:rsid w:val="004A41C2"/>
    <w:rsid w:val="004A61B1"/>
    <w:rsid w:val="004A73E9"/>
    <w:rsid w:val="004B075E"/>
    <w:rsid w:val="004B134F"/>
    <w:rsid w:val="004B47C0"/>
    <w:rsid w:val="004B4A14"/>
    <w:rsid w:val="004B58F3"/>
    <w:rsid w:val="004B5C9C"/>
    <w:rsid w:val="004B6407"/>
    <w:rsid w:val="004B7A82"/>
    <w:rsid w:val="004C3C42"/>
    <w:rsid w:val="004C771B"/>
    <w:rsid w:val="004D02DB"/>
    <w:rsid w:val="004D2862"/>
    <w:rsid w:val="004D394B"/>
    <w:rsid w:val="004D4E6B"/>
    <w:rsid w:val="004D6623"/>
    <w:rsid w:val="004D6822"/>
    <w:rsid w:val="004E03F8"/>
    <w:rsid w:val="004E1513"/>
    <w:rsid w:val="004E42A9"/>
    <w:rsid w:val="004E516D"/>
    <w:rsid w:val="004E5EAC"/>
    <w:rsid w:val="004E63D1"/>
    <w:rsid w:val="004E63FC"/>
    <w:rsid w:val="004EE0D2"/>
    <w:rsid w:val="004F03C9"/>
    <w:rsid w:val="004F25B2"/>
    <w:rsid w:val="004F2F38"/>
    <w:rsid w:val="004F4C8A"/>
    <w:rsid w:val="004F57FC"/>
    <w:rsid w:val="004F598D"/>
    <w:rsid w:val="004F72A0"/>
    <w:rsid w:val="00500F11"/>
    <w:rsid w:val="00500F5A"/>
    <w:rsid w:val="00500FFB"/>
    <w:rsid w:val="005016D3"/>
    <w:rsid w:val="0050175A"/>
    <w:rsid w:val="00501A63"/>
    <w:rsid w:val="00502248"/>
    <w:rsid w:val="00504148"/>
    <w:rsid w:val="00507071"/>
    <w:rsid w:val="00507A3A"/>
    <w:rsid w:val="00510394"/>
    <w:rsid w:val="00510530"/>
    <w:rsid w:val="005109DD"/>
    <w:rsid w:val="00512C5D"/>
    <w:rsid w:val="00512CA5"/>
    <w:rsid w:val="005130F6"/>
    <w:rsid w:val="005135BD"/>
    <w:rsid w:val="00516874"/>
    <w:rsid w:val="005170D6"/>
    <w:rsid w:val="00521D67"/>
    <w:rsid w:val="0052255B"/>
    <w:rsid w:val="00522FF9"/>
    <w:rsid w:val="00530203"/>
    <w:rsid w:val="00531472"/>
    <w:rsid w:val="005316E6"/>
    <w:rsid w:val="005320DD"/>
    <w:rsid w:val="00532302"/>
    <w:rsid w:val="005339F9"/>
    <w:rsid w:val="0053523C"/>
    <w:rsid w:val="00536C8B"/>
    <w:rsid w:val="00537224"/>
    <w:rsid w:val="005373B5"/>
    <w:rsid w:val="005465E9"/>
    <w:rsid w:val="00546C42"/>
    <w:rsid w:val="00551C45"/>
    <w:rsid w:val="00553350"/>
    <w:rsid w:val="00553A6C"/>
    <w:rsid w:val="00554DAD"/>
    <w:rsid w:val="00560B9B"/>
    <w:rsid w:val="00561CF7"/>
    <w:rsid w:val="00563735"/>
    <w:rsid w:val="00565073"/>
    <w:rsid w:val="00566F70"/>
    <w:rsid w:val="00572A96"/>
    <w:rsid w:val="005732A3"/>
    <w:rsid w:val="00574032"/>
    <w:rsid w:val="00577190"/>
    <w:rsid w:val="00577651"/>
    <w:rsid w:val="00580F6D"/>
    <w:rsid w:val="00581040"/>
    <w:rsid w:val="00581C1F"/>
    <w:rsid w:val="00582982"/>
    <w:rsid w:val="00582EDD"/>
    <w:rsid w:val="00583B35"/>
    <w:rsid w:val="005864F2"/>
    <w:rsid w:val="0058788E"/>
    <w:rsid w:val="005909AD"/>
    <w:rsid w:val="005926F7"/>
    <w:rsid w:val="00592EEB"/>
    <w:rsid w:val="00595F7A"/>
    <w:rsid w:val="00596FC0"/>
    <w:rsid w:val="005A178A"/>
    <w:rsid w:val="005A30F5"/>
    <w:rsid w:val="005A3101"/>
    <w:rsid w:val="005A64A9"/>
    <w:rsid w:val="005A7DD0"/>
    <w:rsid w:val="005B0749"/>
    <w:rsid w:val="005B0BE7"/>
    <w:rsid w:val="005B0D0E"/>
    <w:rsid w:val="005B204E"/>
    <w:rsid w:val="005B2FF0"/>
    <w:rsid w:val="005B522C"/>
    <w:rsid w:val="005C26B3"/>
    <w:rsid w:val="005D05FA"/>
    <w:rsid w:val="005D4A85"/>
    <w:rsid w:val="005D62D6"/>
    <w:rsid w:val="005D7438"/>
    <w:rsid w:val="005E3291"/>
    <w:rsid w:val="005E744A"/>
    <w:rsid w:val="005F0521"/>
    <w:rsid w:val="005F2AF9"/>
    <w:rsid w:val="005F2F27"/>
    <w:rsid w:val="005F45BA"/>
    <w:rsid w:val="005F5E5A"/>
    <w:rsid w:val="006052A8"/>
    <w:rsid w:val="00605751"/>
    <w:rsid w:val="00605A72"/>
    <w:rsid w:val="00607D57"/>
    <w:rsid w:val="00610862"/>
    <w:rsid w:val="00610B8A"/>
    <w:rsid w:val="00612857"/>
    <w:rsid w:val="00612C31"/>
    <w:rsid w:val="006136E2"/>
    <w:rsid w:val="00613D19"/>
    <w:rsid w:val="00614F06"/>
    <w:rsid w:val="00615083"/>
    <w:rsid w:val="006172C4"/>
    <w:rsid w:val="0061764D"/>
    <w:rsid w:val="0062117B"/>
    <w:rsid w:val="00621578"/>
    <w:rsid w:val="00621929"/>
    <w:rsid w:val="00621B0B"/>
    <w:rsid w:val="00622D1B"/>
    <w:rsid w:val="00623F6B"/>
    <w:rsid w:val="006245C7"/>
    <w:rsid w:val="0062503D"/>
    <w:rsid w:val="00625EBB"/>
    <w:rsid w:val="00626856"/>
    <w:rsid w:val="006317BF"/>
    <w:rsid w:val="00632E26"/>
    <w:rsid w:val="00633406"/>
    <w:rsid w:val="00637605"/>
    <w:rsid w:val="0063D9AC"/>
    <w:rsid w:val="00640049"/>
    <w:rsid w:val="00640DEA"/>
    <w:rsid w:val="00641641"/>
    <w:rsid w:val="0064200E"/>
    <w:rsid w:val="00646151"/>
    <w:rsid w:val="00650CC4"/>
    <w:rsid w:val="00662201"/>
    <w:rsid w:val="00662973"/>
    <w:rsid w:val="00663B79"/>
    <w:rsid w:val="006653BD"/>
    <w:rsid w:val="00666D49"/>
    <w:rsid w:val="00666E30"/>
    <w:rsid w:val="0067137F"/>
    <w:rsid w:val="00674281"/>
    <w:rsid w:val="00676BF4"/>
    <w:rsid w:val="00680967"/>
    <w:rsid w:val="00680AC6"/>
    <w:rsid w:val="00682C1A"/>
    <w:rsid w:val="00682D8B"/>
    <w:rsid w:val="00686633"/>
    <w:rsid w:val="00692415"/>
    <w:rsid w:val="00692632"/>
    <w:rsid w:val="006926D4"/>
    <w:rsid w:val="00693066"/>
    <w:rsid w:val="00693E07"/>
    <w:rsid w:val="00694BDF"/>
    <w:rsid w:val="00694DB1"/>
    <w:rsid w:val="006953DE"/>
    <w:rsid w:val="00697563"/>
    <w:rsid w:val="006A0434"/>
    <w:rsid w:val="006B0241"/>
    <w:rsid w:val="006B0CF8"/>
    <w:rsid w:val="006B12AA"/>
    <w:rsid w:val="006B280E"/>
    <w:rsid w:val="006B333B"/>
    <w:rsid w:val="006B5315"/>
    <w:rsid w:val="006B569A"/>
    <w:rsid w:val="006B5DEF"/>
    <w:rsid w:val="006B69D4"/>
    <w:rsid w:val="006B6D58"/>
    <w:rsid w:val="006B7A97"/>
    <w:rsid w:val="006C19AE"/>
    <w:rsid w:val="006C2B91"/>
    <w:rsid w:val="006C2B94"/>
    <w:rsid w:val="006C3C37"/>
    <w:rsid w:val="006C6C23"/>
    <w:rsid w:val="006D2619"/>
    <w:rsid w:val="006D5467"/>
    <w:rsid w:val="006D5575"/>
    <w:rsid w:val="006D5F5F"/>
    <w:rsid w:val="006D7110"/>
    <w:rsid w:val="006E1A00"/>
    <w:rsid w:val="006E40A3"/>
    <w:rsid w:val="006E460E"/>
    <w:rsid w:val="006E4D63"/>
    <w:rsid w:val="006E5E66"/>
    <w:rsid w:val="006F0F8D"/>
    <w:rsid w:val="006F37FB"/>
    <w:rsid w:val="006F3A4A"/>
    <w:rsid w:val="006F47FD"/>
    <w:rsid w:val="006F66E8"/>
    <w:rsid w:val="00700E8C"/>
    <w:rsid w:val="00701BC0"/>
    <w:rsid w:val="0070439E"/>
    <w:rsid w:val="0070471F"/>
    <w:rsid w:val="0070ECD8"/>
    <w:rsid w:val="007152B9"/>
    <w:rsid w:val="007154D5"/>
    <w:rsid w:val="00720F72"/>
    <w:rsid w:val="00723377"/>
    <w:rsid w:val="007271D8"/>
    <w:rsid w:val="00727B13"/>
    <w:rsid w:val="0073038E"/>
    <w:rsid w:val="00730856"/>
    <w:rsid w:val="007315A7"/>
    <w:rsid w:val="00732886"/>
    <w:rsid w:val="007330C4"/>
    <w:rsid w:val="007338CB"/>
    <w:rsid w:val="00733F49"/>
    <w:rsid w:val="0073733E"/>
    <w:rsid w:val="00745018"/>
    <w:rsid w:val="00745D62"/>
    <w:rsid w:val="0074774A"/>
    <w:rsid w:val="00751E3D"/>
    <w:rsid w:val="007523F1"/>
    <w:rsid w:val="007614BC"/>
    <w:rsid w:val="00770278"/>
    <w:rsid w:val="00770589"/>
    <w:rsid w:val="00771DD8"/>
    <w:rsid w:val="00776768"/>
    <w:rsid w:val="0077734D"/>
    <w:rsid w:val="00777957"/>
    <w:rsid w:val="0078032F"/>
    <w:rsid w:val="00783C47"/>
    <w:rsid w:val="00785429"/>
    <w:rsid w:val="00786073"/>
    <w:rsid w:val="007867E3"/>
    <w:rsid w:val="00787E9D"/>
    <w:rsid w:val="0079010C"/>
    <w:rsid w:val="00792905"/>
    <w:rsid w:val="00792C55"/>
    <w:rsid w:val="0079413E"/>
    <w:rsid w:val="00795786"/>
    <w:rsid w:val="00797F0D"/>
    <w:rsid w:val="007A00FE"/>
    <w:rsid w:val="007A043C"/>
    <w:rsid w:val="007A4005"/>
    <w:rsid w:val="007A4340"/>
    <w:rsid w:val="007A7FEF"/>
    <w:rsid w:val="007B7200"/>
    <w:rsid w:val="007C1DCC"/>
    <w:rsid w:val="007C3BA4"/>
    <w:rsid w:val="007C6818"/>
    <w:rsid w:val="007C6D9B"/>
    <w:rsid w:val="007C7658"/>
    <w:rsid w:val="007D438F"/>
    <w:rsid w:val="007D4B9C"/>
    <w:rsid w:val="007D5895"/>
    <w:rsid w:val="007D6B62"/>
    <w:rsid w:val="007E1D30"/>
    <w:rsid w:val="007E2478"/>
    <w:rsid w:val="007E32DA"/>
    <w:rsid w:val="007E34BD"/>
    <w:rsid w:val="007E4FB8"/>
    <w:rsid w:val="007E5237"/>
    <w:rsid w:val="007E728C"/>
    <w:rsid w:val="007E73F7"/>
    <w:rsid w:val="007F06AD"/>
    <w:rsid w:val="007F1E5B"/>
    <w:rsid w:val="007F323F"/>
    <w:rsid w:val="007F37CE"/>
    <w:rsid w:val="007F3CB8"/>
    <w:rsid w:val="007F67F1"/>
    <w:rsid w:val="007F728B"/>
    <w:rsid w:val="00801889"/>
    <w:rsid w:val="0080224B"/>
    <w:rsid w:val="00802F50"/>
    <w:rsid w:val="00810E01"/>
    <w:rsid w:val="0081427D"/>
    <w:rsid w:val="008148A1"/>
    <w:rsid w:val="008149FD"/>
    <w:rsid w:val="00814B82"/>
    <w:rsid w:val="008175CC"/>
    <w:rsid w:val="008177C0"/>
    <w:rsid w:val="00820159"/>
    <w:rsid w:val="00824F54"/>
    <w:rsid w:val="008262B9"/>
    <w:rsid w:val="008275D2"/>
    <w:rsid w:val="008307D1"/>
    <w:rsid w:val="008326EE"/>
    <w:rsid w:val="008341D9"/>
    <w:rsid w:val="00834B81"/>
    <w:rsid w:val="00834BB9"/>
    <w:rsid w:val="00834C1E"/>
    <w:rsid w:val="00837730"/>
    <w:rsid w:val="00840CB8"/>
    <w:rsid w:val="008513EE"/>
    <w:rsid w:val="008533FB"/>
    <w:rsid w:val="008560C8"/>
    <w:rsid w:val="0085758B"/>
    <w:rsid w:val="00860C82"/>
    <w:rsid w:val="00862776"/>
    <w:rsid w:val="00866E06"/>
    <w:rsid w:val="008674F0"/>
    <w:rsid w:val="00870739"/>
    <w:rsid w:val="00873B4A"/>
    <w:rsid w:val="00874656"/>
    <w:rsid w:val="00875BE2"/>
    <w:rsid w:val="00877D05"/>
    <w:rsid w:val="008805A3"/>
    <w:rsid w:val="00880B2C"/>
    <w:rsid w:val="0088188B"/>
    <w:rsid w:val="00882094"/>
    <w:rsid w:val="0088211C"/>
    <w:rsid w:val="00883F8D"/>
    <w:rsid w:val="00884BB1"/>
    <w:rsid w:val="00885B89"/>
    <w:rsid w:val="00886E13"/>
    <w:rsid w:val="008877C8"/>
    <w:rsid w:val="008918EA"/>
    <w:rsid w:val="00892179"/>
    <w:rsid w:val="00894FB3"/>
    <w:rsid w:val="008953E3"/>
    <w:rsid w:val="008976BD"/>
    <w:rsid w:val="00897A2B"/>
    <w:rsid w:val="008A059F"/>
    <w:rsid w:val="008A0EF9"/>
    <w:rsid w:val="008A50F6"/>
    <w:rsid w:val="008A740F"/>
    <w:rsid w:val="008A7D4D"/>
    <w:rsid w:val="008B5DC1"/>
    <w:rsid w:val="008B61A9"/>
    <w:rsid w:val="008B6695"/>
    <w:rsid w:val="008B6D8E"/>
    <w:rsid w:val="008C0EC6"/>
    <w:rsid w:val="008C1D07"/>
    <w:rsid w:val="008C40C1"/>
    <w:rsid w:val="008C4734"/>
    <w:rsid w:val="008D0C6C"/>
    <w:rsid w:val="008D2F10"/>
    <w:rsid w:val="008D310E"/>
    <w:rsid w:val="008D6A3C"/>
    <w:rsid w:val="008D733F"/>
    <w:rsid w:val="008E0026"/>
    <w:rsid w:val="008E095C"/>
    <w:rsid w:val="008E13AB"/>
    <w:rsid w:val="008E2BC1"/>
    <w:rsid w:val="008E403C"/>
    <w:rsid w:val="008F22C9"/>
    <w:rsid w:val="008F24E5"/>
    <w:rsid w:val="008F4B88"/>
    <w:rsid w:val="008F4C1C"/>
    <w:rsid w:val="00900C07"/>
    <w:rsid w:val="00900DFB"/>
    <w:rsid w:val="00901593"/>
    <w:rsid w:val="00902430"/>
    <w:rsid w:val="009033FB"/>
    <w:rsid w:val="0090385F"/>
    <w:rsid w:val="00905571"/>
    <w:rsid w:val="0090585F"/>
    <w:rsid w:val="00905F91"/>
    <w:rsid w:val="009070B4"/>
    <w:rsid w:val="00907EF6"/>
    <w:rsid w:val="00910AAF"/>
    <w:rsid w:val="00913D01"/>
    <w:rsid w:val="0091F079"/>
    <w:rsid w:val="00920C80"/>
    <w:rsid w:val="00921979"/>
    <w:rsid w:val="00927026"/>
    <w:rsid w:val="00927AF2"/>
    <w:rsid w:val="00932E40"/>
    <w:rsid w:val="00940704"/>
    <w:rsid w:val="0094379C"/>
    <w:rsid w:val="00943A98"/>
    <w:rsid w:val="009445E1"/>
    <w:rsid w:val="0094499B"/>
    <w:rsid w:val="00945279"/>
    <w:rsid w:val="00945488"/>
    <w:rsid w:val="00945551"/>
    <w:rsid w:val="009469B2"/>
    <w:rsid w:val="0094756F"/>
    <w:rsid w:val="0095093C"/>
    <w:rsid w:val="00950B98"/>
    <w:rsid w:val="00950C0B"/>
    <w:rsid w:val="0095264E"/>
    <w:rsid w:val="00952CF1"/>
    <w:rsid w:val="0095499A"/>
    <w:rsid w:val="00955085"/>
    <w:rsid w:val="009556A1"/>
    <w:rsid w:val="00955BE6"/>
    <w:rsid w:val="00957673"/>
    <w:rsid w:val="00963853"/>
    <w:rsid w:val="00963D42"/>
    <w:rsid w:val="00963FD9"/>
    <w:rsid w:val="0096422C"/>
    <w:rsid w:val="00964575"/>
    <w:rsid w:val="00965A3D"/>
    <w:rsid w:val="00966AE5"/>
    <w:rsid w:val="00967C95"/>
    <w:rsid w:val="00971636"/>
    <w:rsid w:val="0097329E"/>
    <w:rsid w:val="00974943"/>
    <w:rsid w:val="00975D3E"/>
    <w:rsid w:val="009770C2"/>
    <w:rsid w:val="0098180C"/>
    <w:rsid w:val="0098522E"/>
    <w:rsid w:val="00986442"/>
    <w:rsid w:val="00986CE3"/>
    <w:rsid w:val="009904C0"/>
    <w:rsid w:val="0099295B"/>
    <w:rsid w:val="0099383E"/>
    <w:rsid w:val="00994533"/>
    <w:rsid w:val="00995C59"/>
    <w:rsid w:val="00997B44"/>
    <w:rsid w:val="009A0911"/>
    <w:rsid w:val="009A3FCA"/>
    <w:rsid w:val="009A434C"/>
    <w:rsid w:val="009A6205"/>
    <w:rsid w:val="009A74F4"/>
    <w:rsid w:val="009B0269"/>
    <w:rsid w:val="009B038E"/>
    <w:rsid w:val="009B23C3"/>
    <w:rsid w:val="009B4608"/>
    <w:rsid w:val="009B6EA8"/>
    <w:rsid w:val="009B79CC"/>
    <w:rsid w:val="009C11E0"/>
    <w:rsid w:val="009C1561"/>
    <w:rsid w:val="009C2425"/>
    <w:rsid w:val="009C272F"/>
    <w:rsid w:val="009C3274"/>
    <w:rsid w:val="009C541B"/>
    <w:rsid w:val="009C56BF"/>
    <w:rsid w:val="009C75BB"/>
    <w:rsid w:val="009D0685"/>
    <w:rsid w:val="009D1B39"/>
    <w:rsid w:val="009D2B21"/>
    <w:rsid w:val="009D44CD"/>
    <w:rsid w:val="009D4E84"/>
    <w:rsid w:val="009D759E"/>
    <w:rsid w:val="009E5FBA"/>
    <w:rsid w:val="009F4170"/>
    <w:rsid w:val="009F5986"/>
    <w:rsid w:val="009F66A7"/>
    <w:rsid w:val="009F7B17"/>
    <w:rsid w:val="00A0114C"/>
    <w:rsid w:val="00A0524B"/>
    <w:rsid w:val="00A06E45"/>
    <w:rsid w:val="00A150A9"/>
    <w:rsid w:val="00A15A1D"/>
    <w:rsid w:val="00A15C7F"/>
    <w:rsid w:val="00A17470"/>
    <w:rsid w:val="00A238E5"/>
    <w:rsid w:val="00A23AB4"/>
    <w:rsid w:val="00A25F71"/>
    <w:rsid w:val="00A31275"/>
    <w:rsid w:val="00A31629"/>
    <w:rsid w:val="00A31633"/>
    <w:rsid w:val="00A3227B"/>
    <w:rsid w:val="00A3399D"/>
    <w:rsid w:val="00A33EA5"/>
    <w:rsid w:val="00A343FB"/>
    <w:rsid w:val="00A366BD"/>
    <w:rsid w:val="00A367E5"/>
    <w:rsid w:val="00A37450"/>
    <w:rsid w:val="00A374C7"/>
    <w:rsid w:val="00A40CE8"/>
    <w:rsid w:val="00A40F73"/>
    <w:rsid w:val="00A42923"/>
    <w:rsid w:val="00A506D1"/>
    <w:rsid w:val="00A52860"/>
    <w:rsid w:val="00A55F51"/>
    <w:rsid w:val="00A60470"/>
    <w:rsid w:val="00A62D6C"/>
    <w:rsid w:val="00A63603"/>
    <w:rsid w:val="00A644B4"/>
    <w:rsid w:val="00A65050"/>
    <w:rsid w:val="00A65BB4"/>
    <w:rsid w:val="00A662D1"/>
    <w:rsid w:val="00A70840"/>
    <w:rsid w:val="00A7538F"/>
    <w:rsid w:val="00A75C85"/>
    <w:rsid w:val="00A77DD9"/>
    <w:rsid w:val="00A80321"/>
    <w:rsid w:val="00A804BD"/>
    <w:rsid w:val="00A84469"/>
    <w:rsid w:val="00A85877"/>
    <w:rsid w:val="00A90464"/>
    <w:rsid w:val="00A9397C"/>
    <w:rsid w:val="00AA03B9"/>
    <w:rsid w:val="00AA0FFA"/>
    <w:rsid w:val="00AA15C6"/>
    <w:rsid w:val="00AA16C7"/>
    <w:rsid w:val="00AA3011"/>
    <w:rsid w:val="00AA3BE9"/>
    <w:rsid w:val="00AA4C11"/>
    <w:rsid w:val="00AA4FD7"/>
    <w:rsid w:val="00AA5371"/>
    <w:rsid w:val="00AA9648"/>
    <w:rsid w:val="00AB346A"/>
    <w:rsid w:val="00AB3DD3"/>
    <w:rsid w:val="00AB4972"/>
    <w:rsid w:val="00AB5198"/>
    <w:rsid w:val="00AB5BD5"/>
    <w:rsid w:val="00AB7F7F"/>
    <w:rsid w:val="00AC1809"/>
    <w:rsid w:val="00AC1A55"/>
    <w:rsid w:val="00AC464E"/>
    <w:rsid w:val="00AC56B6"/>
    <w:rsid w:val="00AC6177"/>
    <w:rsid w:val="00AC62F6"/>
    <w:rsid w:val="00AC6A4F"/>
    <w:rsid w:val="00AD024B"/>
    <w:rsid w:val="00AD0BBE"/>
    <w:rsid w:val="00AD14BB"/>
    <w:rsid w:val="00AD17A7"/>
    <w:rsid w:val="00AD2347"/>
    <w:rsid w:val="00AD23F9"/>
    <w:rsid w:val="00AD3A19"/>
    <w:rsid w:val="00AD40E5"/>
    <w:rsid w:val="00AE06D2"/>
    <w:rsid w:val="00AE2D1B"/>
    <w:rsid w:val="00AE306D"/>
    <w:rsid w:val="00AE33EC"/>
    <w:rsid w:val="00AE4F40"/>
    <w:rsid w:val="00AE5699"/>
    <w:rsid w:val="00AE6908"/>
    <w:rsid w:val="00AE6FA7"/>
    <w:rsid w:val="00AE783B"/>
    <w:rsid w:val="00B00462"/>
    <w:rsid w:val="00B025A7"/>
    <w:rsid w:val="00B044E0"/>
    <w:rsid w:val="00B057A7"/>
    <w:rsid w:val="00B06A3C"/>
    <w:rsid w:val="00B07280"/>
    <w:rsid w:val="00B14964"/>
    <w:rsid w:val="00B169D7"/>
    <w:rsid w:val="00B16DE9"/>
    <w:rsid w:val="00B27B91"/>
    <w:rsid w:val="00B30B80"/>
    <w:rsid w:val="00B31F09"/>
    <w:rsid w:val="00B33394"/>
    <w:rsid w:val="00B37029"/>
    <w:rsid w:val="00B37CCE"/>
    <w:rsid w:val="00B37D49"/>
    <w:rsid w:val="00B3CF04"/>
    <w:rsid w:val="00B40977"/>
    <w:rsid w:val="00B414B4"/>
    <w:rsid w:val="00B42D61"/>
    <w:rsid w:val="00B43B42"/>
    <w:rsid w:val="00B458E2"/>
    <w:rsid w:val="00B4666D"/>
    <w:rsid w:val="00B47361"/>
    <w:rsid w:val="00B50602"/>
    <w:rsid w:val="00B514AE"/>
    <w:rsid w:val="00B52D6B"/>
    <w:rsid w:val="00B547C5"/>
    <w:rsid w:val="00B56943"/>
    <w:rsid w:val="00B56ED7"/>
    <w:rsid w:val="00B56EFA"/>
    <w:rsid w:val="00B57503"/>
    <w:rsid w:val="00B6123D"/>
    <w:rsid w:val="00B62BC8"/>
    <w:rsid w:val="00B62C17"/>
    <w:rsid w:val="00B639B5"/>
    <w:rsid w:val="00B6497A"/>
    <w:rsid w:val="00B670CC"/>
    <w:rsid w:val="00B7057D"/>
    <w:rsid w:val="00B71244"/>
    <w:rsid w:val="00B71D9B"/>
    <w:rsid w:val="00B77089"/>
    <w:rsid w:val="00B77545"/>
    <w:rsid w:val="00B809FA"/>
    <w:rsid w:val="00B80A1A"/>
    <w:rsid w:val="00B8321E"/>
    <w:rsid w:val="00B85F2E"/>
    <w:rsid w:val="00B862BA"/>
    <w:rsid w:val="00B8774E"/>
    <w:rsid w:val="00B90923"/>
    <w:rsid w:val="00B93185"/>
    <w:rsid w:val="00B9441F"/>
    <w:rsid w:val="00BA19AD"/>
    <w:rsid w:val="00BA377B"/>
    <w:rsid w:val="00BA3F70"/>
    <w:rsid w:val="00BA5381"/>
    <w:rsid w:val="00BA54E5"/>
    <w:rsid w:val="00BB2B67"/>
    <w:rsid w:val="00BB2DED"/>
    <w:rsid w:val="00BB36B3"/>
    <w:rsid w:val="00BB548C"/>
    <w:rsid w:val="00BB5C64"/>
    <w:rsid w:val="00BB693F"/>
    <w:rsid w:val="00BC19B8"/>
    <w:rsid w:val="00BC2054"/>
    <w:rsid w:val="00BC6032"/>
    <w:rsid w:val="00BC73C7"/>
    <w:rsid w:val="00BD25B2"/>
    <w:rsid w:val="00BD4583"/>
    <w:rsid w:val="00BD67CE"/>
    <w:rsid w:val="00BD6BD3"/>
    <w:rsid w:val="00BE10D4"/>
    <w:rsid w:val="00BE111C"/>
    <w:rsid w:val="00BE2084"/>
    <w:rsid w:val="00BE46B0"/>
    <w:rsid w:val="00BE46C1"/>
    <w:rsid w:val="00BE4B85"/>
    <w:rsid w:val="00BE4FDF"/>
    <w:rsid w:val="00BF200F"/>
    <w:rsid w:val="00BF5C5D"/>
    <w:rsid w:val="00BF6BEC"/>
    <w:rsid w:val="00C01658"/>
    <w:rsid w:val="00C023D5"/>
    <w:rsid w:val="00C0346C"/>
    <w:rsid w:val="00C03A8B"/>
    <w:rsid w:val="00C04D79"/>
    <w:rsid w:val="00C05739"/>
    <w:rsid w:val="00C07110"/>
    <w:rsid w:val="00C1047F"/>
    <w:rsid w:val="00C13055"/>
    <w:rsid w:val="00C1A052"/>
    <w:rsid w:val="00C1FDFE"/>
    <w:rsid w:val="00C200B1"/>
    <w:rsid w:val="00C2555D"/>
    <w:rsid w:val="00C26F04"/>
    <w:rsid w:val="00C319D3"/>
    <w:rsid w:val="00C3313E"/>
    <w:rsid w:val="00C378C6"/>
    <w:rsid w:val="00C379F9"/>
    <w:rsid w:val="00C37ED1"/>
    <w:rsid w:val="00C40021"/>
    <w:rsid w:val="00C41ACB"/>
    <w:rsid w:val="00C41BF8"/>
    <w:rsid w:val="00C42760"/>
    <w:rsid w:val="00C43A44"/>
    <w:rsid w:val="00C477FA"/>
    <w:rsid w:val="00C47C9C"/>
    <w:rsid w:val="00C50DF7"/>
    <w:rsid w:val="00C51135"/>
    <w:rsid w:val="00C520CA"/>
    <w:rsid w:val="00C526E4"/>
    <w:rsid w:val="00C531ED"/>
    <w:rsid w:val="00C53A3B"/>
    <w:rsid w:val="00C55D76"/>
    <w:rsid w:val="00C55FD6"/>
    <w:rsid w:val="00C57261"/>
    <w:rsid w:val="00C604DF"/>
    <w:rsid w:val="00C62B6B"/>
    <w:rsid w:val="00C64200"/>
    <w:rsid w:val="00C647F5"/>
    <w:rsid w:val="00C67013"/>
    <w:rsid w:val="00C707DC"/>
    <w:rsid w:val="00C7123D"/>
    <w:rsid w:val="00C713C0"/>
    <w:rsid w:val="00C7179F"/>
    <w:rsid w:val="00C71B23"/>
    <w:rsid w:val="00C735EE"/>
    <w:rsid w:val="00C76C3E"/>
    <w:rsid w:val="00C83EE2"/>
    <w:rsid w:val="00C9178E"/>
    <w:rsid w:val="00C91F35"/>
    <w:rsid w:val="00C960C1"/>
    <w:rsid w:val="00C960F8"/>
    <w:rsid w:val="00C96A55"/>
    <w:rsid w:val="00C96B5E"/>
    <w:rsid w:val="00CA2F44"/>
    <w:rsid w:val="00CA37C8"/>
    <w:rsid w:val="00CA5F5F"/>
    <w:rsid w:val="00CA7FE1"/>
    <w:rsid w:val="00CB0D07"/>
    <w:rsid w:val="00CB1581"/>
    <w:rsid w:val="00CB4C74"/>
    <w:rsid w:val="00CB5DFE"/>
    <w:rsid w:val="00CB6B9C"/>
    <w:rsid w:val="00CB702B"/>
    <w:rsid w:val="00CC192B"/>
    <w:rsid w:val="00CC36DD"/>
    <w:rsid w:val="00CC3E96"/>
    <w:rsid w:val="00CC6D6F"/>
    <w:rsid w:val="00CD0611"/>
    <w:rsid w:val="00CD0A60"/>
    <w:rsid w:val="00CD318E"/>
    <w:rsid w:val="00CD49E3"/>
    <w:rsid w:val="00CD4DAC"/>
    <w:rsid w:val="00CD516A"/>
    <w:rsid w:val="00CD5545"/>
    <w:rsid w:val="00CD5F2F"/>
    <w:rsid w:val="00CD6CDC"/>
    <w:rsid w:val="00CD6DC4"/>
    <w:rsid w:val="00CE03CC"/>
    <w:rsid w:val="00CE0E24"/>
    <w:rsid w:val="00CE14BB"/>
    <w:rsid w:val="00CE21EA"/>
    <w:rsid w:val="00CE40FE"/>
    <w:rsid w:val="00CE54A6"/>
    <w:rsid w:val="00CE5B5D"/>
    <w:rsid w:val="00CE6E2A"/>
    <w:rsid w:val="00CE7B01"/>
    <w:rsid w:val="00CF1561"/>
    <w:rsid w:val="00CF273A"/>
    <w:rsid w:val="00CF3A51"/>
    <w:rsid w:val="00CF52A7"/>
    <w:rsid w:val="00CF54FE"/>
    <w:rsid w:val="00CF6191"/>
    <w:rsid w:val="00CF630D"/>
    <w:rsid w:val="00CF717E"/>
    <w:rsid w:val="00D01598"/>
    <w:rsid w:val="00D016C9"/>
    <w:rsid w:val="00D0417C"/>
    <w:rsid w:val="00D05636"/>
    <w:rsid w:val="00D05EF8"/>
    <w:rsid w:val="00D0EC1A"/>
    <w:rsid w:val="00D11DAD"/>
    <w:rsid w:val="00D12C5A"/>
    <w:rsid w:val="00D12CAB"/>
    <w:rsid w:val="00D138E8"/>
    <w:rsid w:val="00D14136"/>
    <w:rsid w:val="00D15249"/>
    <w:rsid w:val="00D16590"/>
    <w:rsid w:val="00D1756A"/>
    <w:rsid w:val="00D213A7"/>
    <w:rsid w:val="00D21E8B"/>
    <w:rsid w:val="00D2612C"/>
    <w:rsid w:val="00D338AA"/>
    <w:rsid w:val="00D33D42"/>
    <w:rsid w:val="00D3797B"/>
    <w:rsid w:val="00D43664"/>
    <w:rsid w:val="00D45BC0"/>
    <w:rsid w:val="00D45FBD"/>
    <w:rsid w:val="00D513E7"/>
    <w:rsid w:val="00D51737"/>
    <w:rsid w:val="00D52871"/>
    <w:rsid w:val="00D53748"/>
    <w:rsid w:val="00D53806"/>
    <w:rsid w:val="00D53E33"/>
    <w:rsid w:val="00D56F3A"/>
    <w:rsid w:val="00D60F09"/>
    <w:rsid w:val="00D60F24"/>
    <w:rsid w:val="00D613FF"/>
    <w:rsid w:val="00D61C4C"/>
    <w:rsid w:val="00D623DB"/>
    <w:rsid w:val="00D6491F"/>
    <w:rsid w:val="00D6627A"/>
    <w:rsid w:val="00D66ED5"/>
    <w:rsid w:val="00D673AD"/>
    <w:rsid w:val="00D6759B"/>
    <w:rsid w:val="00D677CE"/>
    <w:rsid w:val="00D67AFB"/>
    <w:rsid w:val="00D7672A"/>
    <w:rsid w:val="00D767DA"/>
    <w:rsid w:val="00D81C8A"/>
    <w:rsid w:val="00D82936"/>
    <w:rsid w:val="00D864D5"/>
    <w:rsid w:val="00D90BCD"/>
    <w:rsid w:val="00D91148"/>
    <w:rsid w:val="00D92F61"/>
    <w:rsid w:val="00D93717"/>
    <w:rsid w:val="00D939F0"/>
    <w:rsid w:val="00DA4FDD"/>
    <w:rsid w:val="00DA5C9A"/>
    <w:rsid w:val="00DA6AB5"/>
    <w:rsid w:val="00DB05C4"/>
    <w:rsid w:val="00DB0DD5"/>
    <w:rsid w:val="00DB5411"/>
    <w:rsid w:val="00DB64A9"/>
    <w:rsid w:val="00DB7657"/>
    <w:rsid w:val="00DB7CA5"/>
    <w:rsid w:val="00DC25E4"/>
    <w:rsid w:val="00DC268F"/>
    <w:rsid w:val="00DC38ED"/>
    <w:rsid w:val="00DC4E98"/>
    <w:rsid w:val="00DC6B4B"/>
    <w:rsid w:val="00DD055F"/>
    <w:rsid w:val="00DD3ADE"/>
    <w:rsid w:val="00DD3D58"/>
    <w:rsid w:val="00DE00A7"/>
    <w:rsid w:val="00DE2661"/>
    <w:rsid w:val="00DE4943"/>
    <w:rsid w:val="00DE4EE7"/>
    <w:rsid w:val="00DE5D8D"/>
    <w:rsid w:val="00DE7D50"/>
    <w:rsid w:val="00DF0052"/>
    <w:rsid w:val="00DF045E"/>
    <w:rsid w:val="00DF1C03"/>
    <w:rsid w:val="00DF3999"/>
    <w:rsid w:val="00DF3EF7"/>
    <w:rsid w:val="00DF424E"/>
    <w:rsid w:val="00DF69B9"/>
    <w:rsid w:val="00DF6CA7"/>
    <w:rsid w:val="00DF72E6"/>
    <w:rsid w:val="00DFE002"/>
    <w:rsid w:val="00E00C60"/>
    <w:rsid w:val="00E02F56"/>
    <w:rsid w:val="00E05676"/>
    <w:rsid w:val="00E0624A"/>
    <w:rsid w:val="00E0633C"/>
    <w:rsid w:val="00E1088A"/>
    <w:rsid w:val="00E110FF"/>
    <w:rsid w:val="00E126EE"/>
    <w:rsid w:val="00E12D61"/>
    <w:rsid w:val="00E13176"/>
    <w:rsid w:val="00E15442"/>
    <w:rsid w:val="00E2211A"/>
    <w:rsid w:val="00E229F7"/>
    <w:rsid w:val="00E22C39"/>
    <w:rsid w:val="00E26474"/>
    <w:rsid w:val="00E26B54"/>
    <w:rsid w:val="00E27AAE"/>
    <w:rsid w:val="00E35DDB"/>
    <w:rsid w:val="00E360B0"/>
    <w:rsid w:val="00E36819"/>
    <w:rsid w:val="00E36BE1"/>
    <w:rsid w:val="00E40460"/>
    <w:rsid w:val="00E40461"/>
    <w:rsid w:val="00E4167C"/>
    <w:rsid w:val="00E43E84"/>
    <w:rsid w:val="00E45DEB"/>
    <w:rsid w:val="00E50456"/>
    <w:rsid w:val="00E51A0D"/>
    <w:rsid w:val="00E51CB9"/>
    <w:rsid w:val="00E528F9"/>
    <w:rsid w:val="00E53153"/>
    <w:rsid w:val="00E5443E"/>
    <w:rsid w:val="00E56D2C"/>
    <w:rsid w:val="00E61DB5"/>
    <w:rsid w:val="00E6739D"/>
    <w:rsid w:val="00E70879"/>
    <w:rsid w:val="00E71EB8"/>
    <w:rsid w:val="00E720AE"/>
    <w:rsid w:val="00E73BEA"/>
    <w:rsid w:val="00E74023"/>
    <w:rsid w:val="00E7523A"/>
    <w:rsid w:val="00E7541F"/>
    <w:rsid w:val="00E75608"/>
    <w:rsid w:val="00E81943"/>
    <w:rsid w:val="00E85524"/>
    <w:rsid w:val="00E85650"/>
    <w:rsid w:val="00E916FA"/>
    <w:rsid w:val="00E923CD"/>
    <w:rsid w:val="00E95B1C"/>
    <w:rsid w:val="00E97192"/>
    <w:rsid w:val="00EA0855"/>
    <w:rsid w:val="00EA3AAA"/>
    <w:rsid w:val="00EA68A2"/>
    <w:rsid w:val="00EA7FAE"/>
    <w:rsid w:val="00EB002B"/>
    <w:rsid w:val="00EB3083"/>
    <w:rsid w:val="00EB3CBC"/>
    <w:rsid w:val="00EB7852"/>
    <w:rsid w:val="00EC0207"/>
    <w:rsid w:val="00EC0CD2"/>
    <w:rsid w:val="00EC22E5"/>
    <w:rsid w:val="00EC395E"/>
    <w:rsid w:val="00EC3A19"/>
    <w:rsid w:val="00EC45FF"/>
    <w:rsid w:val="00ED0C74"/>
    <w:rsid w:val="00ED31E4"/>
    <w:rsid w:val="00ED450B"/>
    <w:rsid w:val="00ED4852"/>
    <w:rsid w:val="00ED57E7"/>
    <w:rsid w:val="00ED5D8F"/>
    <w:rsid w:val="00EDBC82"/>
    <w:rsid w:val="00EE0794"/>
    <w:rsid w:val="00EE1ED7"/>
    <w:rsid w:val="00EE2DED"/>
    <w:rsid w:val="00EE3574"/>
    <w:rsid w:val="00EF2198"/>
    <w:rsid w:val="00EF2B2A"/>
    <w:rsid w:val="00EF5B30"/>
    <w:rsid w:val="00EF6C3E"/>
    <w:rsid w:val="00F01DDA"/>
    <w:rsid w:val="00F032FA"/>
    <w:rsid w:val="00F0376D"/>
    <w:rsid w:val="00F04504"/>
    <w:rsid w:val="00F047AA"/>
    <w:rsid w:val="00F07D00"/>
    <w:rsid w:val="00F105FB"/>
    <w:rsid w:val="00F1171F"/>
    <w:rsid w:val="00F124F9"/>
    <w:rsid w:val="00F1257C"/>
    <w:rsid w:val="00F14104"/>
    <w:rsid w:val="00F143CC"/>
    <w:rsid w:val="00F144E6"/>
    <w:rsid w:val="00F155C5"/>
    <w:rsid w:val="00F22931"/>
    <w:rsid w:val="00F22B79"/>
    <w:rsid w:val="00F23B6C"/>
    <w:rsid w:val="00F25B45"/>
    <w:rsid w:val="00F27C8F"/>
    <w:rsid w:val="00F302F1"/>
    <w:rsid w:val="00F3130F"/>
    <w:rsid w:val="00F31ABA"/>
    <w:rsid w:val="00F323B5"/>
    <w:rsid w:val="00F33C52"/>
    <w:rsid w:val="00F355FE"/>
    <w:rsid w:val="00F41801"/>
    <w:rsid w:val="00F4463D"/>
    <w:rsid w:val="00F450F6"/>
    <w:rsid w:val="00F45235"/>
    <w:rsid w:val="00F4714B"/>
    <w:rsid w:val="00F476F3"/>
    <w:rsid w:val="00F51CE0"/>
    <w:rsid w:val="00F55848"/>
    <w:rsid w:val="00F5774A"/>
    <w:rsid w:val="00F57FF5"/>
    <w:rsid w:val="00F62E42"/>
    <w:rsid w:val="00F637C8"/>
    <w:rsid w:val="00F638CD"/>
    <w:rsid w:val="00F6488F"/>
    <w:rsid w:val="00F64D15"/>
    <w:rsid w:val="00F670D5"/>
    <w:rsid w:val="00F739E6"/>
    <w:rsid w:val="00F763A7"/>
    <w:rsid w:val="00F8127E"/>
    <w:rsid w:val="00F82B16"/>
    <w:rsid w:val="00F82E70"/>
    <w:rsid w:val="00F85CFE"/>
    <w:rsid w:val="00F861D1"/>
    <w:rsid w:val="00F8654F"/>
    <w:rsid w:val="00F87286"/>
    <w:rsid w:val="00F878A6"/>
    <w:rsid w:val="00F9044B"/>
    <w:rsid w:val="00F9045E"/>
    <w:rsid w:val="00F91C47"/>
    <w:rsid w:val="00F94A41"/>
    <w:rsid w:val="00F94F23"/>
    <w:rsid w:val="00F95BF2"/>
    <w:rsid w:val="00FA1247"/>
    <w:rsid w:val="00FA1C7C"/>
    <w:rsid w:val="00FA458F"/>
    <w:rsid w:val="00FA79AD"/>
    <w:rsid w:val="00FB1458"/>
    <w:rsid w:val="00FB21CB"/>
    <w:rsid w:val="00FB27FA"/>
    <w:rsid w:val="00FB43A2"/>
    <w:rsid w:val="00FB4CA6"/>
    <w:rsid w:val="00FB6C5A"/>
    <w:rsid w:val="00FC1ADB"/>
    <w:rsid w:val="00FC2260"/>
    <w:rsid w:val="00FC51CC"/>
    <w:rsid w:val="00FD0CDC"/>
    <w:rsid w:val="00FD1282"/>
    <w:rsid w:val="00FD37DE"/>
    <w:rsid w:val="00FD4C3B"/>
    <w:rsid w:val="00FD5DCA"/>
    <w:rsid w:val="00FD6F9C"/>
    <w:rsid w:val="00FE0B86"/>
    <w:rsid w:val="00FE274B"/>
    <w:rsid w:val="00FE5800"/>
    <w:rsid w:val="00FE7EBB"/>
    <w:rsid w:val="00FF44F3"/>
    <w:rsid w:val="00FF64AD"/>
    <w:rsid w:val="01046042"/>
    <w:rsid w:val="01080B8B"/>
    <w:rsid w:val="0115ED85"/>
    <w:rsid w:val="0116DD78"/>
    <w:rsid w:val="011701B8"/>
    <w:rsid w:val="011A07B3"/>
    <w:rsid w:val="01236243"/>
    <w:rsid w:val="012487FC"/>
    <w:rsid w:val="01468351"/>
    <w:rsid w:val="014723B9"/>
    <w:rsid w:val="0149AC18"/>
    <w:rsid w:val="014AEA85"/>
    <w:rsid w:val="014F7CBA"/>
    <w:rsid w:val="0154B942"/>
    <w:rsid w:val="015FB3A8"/>
    <w:rsid w:val="01746C3F"/>
    <w:rsid w:val="017AFBE4"/>
    <w:rsid w:val="017D50B2"/>
    <w:rsid w:val="017F8560"/>
    <w:rsid w:val="01845B2D"/>
    <w:rsid w:val="0185B4E8"/>
    <w:rsid w:val="01875414"/>
    <w:rsid w:val="018D4EC4"/>
    <w:rsid w:val="018D954B"/>
    <w:rsid w:val="01914A8D"/>
    <w:rsid w:val="0192F68B"/>
    <w:rsid w:val="019EDD45"/>
    <w:rsid w:val="01B2EEDD"/>
    <w:rsid w:val="01B61EA4"/>
    <w:rsid w:val="01B647E1"/>
    <w:rsid w:val="01BDB66C"/>
    <w:rsid w:val="01BE3567"/>
    <w:rsid w:val="01C2D678"/>
    <w:rsid w:val="01C8EEBF"/>
    <w:rsid w:val="01CC8F7F"/>
    <w:rsid w:val="01CCBB1A"/>
    <w:rsid w:val="01D3BD03"/>
    <w:rsid w:val="01D5A845"/>
    <w:rsid w:val="01D90769"/>
    <w:rsid w:val="01DAACDE"/>
    <w:rsid w:val="01DAEA36"/>
    <w:rsid w:val="01DFD825"/>
    <w:rsid w:val="01E60EF8"/>
    <w:rsid w:val="01E637FC"/>
    <w:rsid w:val="01E822B2"/>
    <w:rsid w:val="01F07EAB"/>
    <w:rsid w:val="01F5130F"/>
    <w:rsid w:val="01FF5C70"/>
    <w:rsid w:val="02033668"/>
    <w:rsid w:val="020A0078"/>
    <w:rsid w:val="020CA0FE"/>
    <w:rsid w:val="020CE631"/>
    <w:rsid w:val="02142D6C"/>
    <w:rsid w:val="0215B78C"/>
    <w:rsid w:val="02171965"/>
    <w:rsid w:val="02195482"/>
    <w:rsid w:val="022163E9"/>
    <w:rsid w:val="0226D4CB"/>
    <w:rsid w:val="022702F9"/>
    <w:rsid w:val="0229FA51"/>
    <w:rsid w:val="022CFC75"/>
    <w:rsid w:val="0235AFDC"/>
    <w:rsid w:val="023A0100"/>
    <w:rsid w:val="023FAF30"/>
    <w:rsid w:val="02414581"/>
    <w:rsid w:val="024B0C84"/>
    <w:rsid w:val="02533F38"/>
    <w:rsid w:val="0257EB48"/>
    <w:rsid w:val="025959B3"/>
    <w:rsid w:val="025C3104"/>
    <w:rsid w:val="026901EF"/>
    <w:rsid w:val="026B5F5D"/>
    <w:rsid w:val="027409C1"/>
    <w:rsid w:val="027BB063"/>
    <w:rsid w:val="02883EA6"/>
    <w:rsid w:val="028F812B"/>
    <w:rsid w:val="02A6B379"/>
    <w:rsid w:val="02AAF04A"/>
    <w:rsid w:val="02AF907F"/>
    <w:rsid w:val="02B5C657"/>
    <w:rsid w:val="02B947A5"/>
    <w:rsid w:val="02DBBB51"/>
    <w:rsid w:val="02DD2B36"/>
    <w:rsid w:val="02E2F41A"/>
    <w:rsid w:val="02FFCE7B"/>
    <w:rsid w:val="03040350"/>
    <w:rsid w:val="03093BCF"/>
    <w:rsid w:val="030ECB59"/>
    <w:rsid w:val="0323C13E"/>
    <w:rsid w:val="0331795B"/>
    <w:rsid w:val="0333E756"/>
    <w:rsid w:val="0337EB49"/>
    <w:rsid w:val="03399DE4"/>
    <w:rsid w:val="033F44C0"/>
    <w:rsid w:val="03405C88"/>
    <w:rsid w:val="0341D00A"/>
    <w:rsid w:val="034DF9C7"/>
    <w:rsid w:val="035C6E40"/>
    <w:rsid w:val="0363B46F"/>
    <w:rsid w:val="0376659D"/>
    <w:rsid w:val="0381D1D0"/>
    <w:rsid w:val="03987836"/>
    <w:rsid w:val="039CB9E8"/>
    <w:rsid w:val="03A1FA49"/>
    <w:rsid w:val="03ADA17F"/>
    <w:rsid w:val="03B2E9C6"/>
    <w:rsid w:val="03BDB432"/>
    <w:rsid w:val="03C04024"/>
    <w:rsid w:val="03C2D8F1"/>
    <w:rsid w:val="03CF00C6"/>
    <w:rsid w:val="03D997E0"/>
    <w:rsid w:val="03E51002"/>
    <w:rsid w:val="03E5E1E6"/>
    <w:rsid w:val="03E822C4"/>
    <w:rsid w:val="03E87332"/>
    <w:rsid w:val="040245AB"/>
    <w:rsid w:val="040364F6"/>
    <w:rsid w:val="041DFABC"/>
    <w:rsid w:val="04259AEB"/>
    <w:rsid w:val="04296760"/>
    <w:rsid w:val="042AA4E4"/>
    <w:rsid w:val="043292EB"/>
    <w:rsid w:val="0432E977"/>
    <w:rsid w:val="0448039F"/>
    <w:rsid w:val="044C866E"/>
    <w:rsid w:val="045267D3"/>
    <w:rsid w:val="0456A023"/>
    <w:rsid w:val="04700A03"/>
    <w:rsid w:val="0471CF73"/>
    <w:rsid w:val="04762104"/>
    <w:rsid w:val="047BE7FB"/>
    <w:rsid w:val="047F7938"/>
    <w:rsid w:val="048432AD"/>
    <w:rsid w:val="0487A681"/>
    <w:rsid w:val="04895A94"/>
    <w:rsid w:val="04899816"/>
    <w:rsid w:val="048CF35C"/>
    <w:rsid w:val="0490B40F"/>
    <w:rsid w:val="0491F88B"/>
    <w:rsid w:val="04A084BE"/>
    <w:rsid w:val="04A1A5CA"/>
    <w:rsid w:val="04B09DAA"/>
    <w:rsid w:val="04B2FA13"/>
    <w:rsid w:val="04B9132F"/>
    <w:rsid w:val="04B9B475"/>
    <w:rsid w:val="04D03C5B"/>
    <w:rsid w:val="04D19983"/>
    <w:rsid w:val="04E3DD99"/>
    <w:rsid w:val="04EAEA53"/>
    <w:rsid w:val="04EED0AD"/>
    <w:rsid w:val="04FBE0A1"/>
    <w:rsid w:val="04FC8BBE"/>
    <w:rsid w:val="050A1B88"/>
    <w:rsid w:val="050A327F"/>
    <w:rsid w:val="051D8A4D"/>
    <w:rsid w:val="051FD986"/>
    <w:rsid w:val="052132A8"/>
    <w:rsid w:val="0523C359"/>
    <w:rsid w:val="052BF029"/>
    <w:rsid w:val="052E6DB0"/>
    <w:rsid w:val="0532BB73"/>
    <w:rsid w:val="0534FB1C"/>
    <w:rsid w:val="053ACABA"/>
    <w:rsid w:val="053B7FB4"/>
    <w:rsid w:val="053C06A0"/>
    <w:rsid w:val="055E7BC8"/>
    <w:rsid w:val="056F3E46"/>
    <w:rsid w:val="057212EC"/>
    <w:rsid w:val="057C4DEB"/>
    <w:rsid w:val="057D1D87"/>
    <w:rsid w:val="05853145"/>
    <w:rsid w:val="05883277"/>
    <w:rsid w:val="0591D796"/>
    <w:rsid w:val="0595F164"/>
    <w:rsid w:val="0597050B"/>
    <w:rsid w:val="059C6E3B"/>
    <w:rsid w:val="05A1B72C"/>
    <w:rsid w:val="05B1DCE3"/>
    <w:rsid w:val="05B44350"/>
    <w:rsid w:val="05D225A6"/>
    <w:rsid w:val="05D44D95"/>
    <w:rsid w:val="05DBD305"/>
    <w:rsid w:val="05DFFC05"/>
    <w:rsid w:val="05FF2440"/>
    <w:rsid w:val="060B5014"/>
    <w:rsid w:val="061511A2"/>
    <w:rsid w:val="061FE501"/>
    <w:rsid w:val="06227E30"/>
    <w:rsid w:val="0623FCB9"/>
    <w:rsid w:val="0624A1DE"/>
    <w:rsid w:val="062C8470"/>
    <w:rsid w:val="0632AE0E"/>
    <w:rsid w:val="063656B5"/>
    <w:rsid w:val="063A248B"/>
    <w:rsid w:val="063AF3B8"/>
    <w:rsid w:val="063B3353"/>
    <w:rsid w:val="063DCA3B"/>
    <w:rsid w:val="063E5352"/>
    <w:rsid w:val="064C7160"/>
    <w:rsid w:val="0655D8B7"/>
    <w:rsid w:val="0659260B"/>
    <w:rsid w:val="06599C5C"/>
    <w:rsid w:val="06674C6D"/>
    <w:rsid w:val="0674FCF0"/>
    <w:rsid w:val="067521CA"/>
    <w:rsid w:val="06770A4D"/>
    <w:rsid w:val="0678EE67"/>
    <w:rsid w:val="0686BA6A"/>
    <w:rsid w:val="068FCD7D"/>
    <w:rsid w:val="06940F02"/>
    <w:rsid w:val="069E7574"/>
    <w:rsid w:val="069F0195"/>
    <w:rsid w:val="06A52F3C"/>
    <w:rsid w:val="06A7C972"/>
    <w:rsid w:val="06A7EE28"/>
    <w:rsid w:val="06B0BD5A"/>
    <w:rsid w:val="06B64778"/>
    <w:rsid w:val="06BEAA70"/>
    <w:rsid w:val="06C31FA6"/>
    <w:rsid w:val="06C5E2DD"/>
    <w:rsid w:val="06CBD9D1"/>
    <w:rsid w:val="06CC5051"/>
    <w:rsid w:val="06D38FBE"/>
    <w:rsid w:val="06D5F6A5"/>
    <w:rsid w:val="06DF290C"/>
    <w:rsid w:val="06F4F0E2"/>
    <w:rsid w:val="06FC1BAF"/>
    <w:rsid w:val="070CC4C2"/>
    <w:rsid w:val="071E7E15"/>
    <w:rsid w:val="0723E380"/>
    <w:rsid w:val="072E0517"/>
    <w:rsid w:val="0744350B"/>
    <w:rsid w:val="074662E2"/>
    <w:rsid w:val="07477C68"/>
    <w:rsid w:val="074FD98F"/>
    <w:rsid w:val="0756CC9D"/>
    <w:rsid w:val="075FA1E0"/>
    <w:rsid w:val="077F4A99"/>
    <w:rsid w:val="0780028C"/>
    <w:rsid w:val="07809E17"/>
    <w:rsid w:val="07822AD8"/>
    <w:rsid w:val="078E40E5"/>
    <w:rsid w:val="078F6D39"/>
    <w:rsid w:val="07928DA7"/>
    <w:rsid w:val="079946BC"/>
    <w:rsid w:val="07AD6668"/>
    <w:rsid w:val="07B29880"/>
    <w:rsid w:val="07B91D2C"/>
    <w:rsid w:val="07C37FEE"/>
    <w:rsid w:val="07D82580"/>
    <w:rsid w:val="07DA32E0"/>
    <w:rsid w:val="07DBF7D7"/>
    <w:rsid w:val="07DC7802"/>
    <w:rsid w:val="07E5C0F7"/>
    <w:rsid w:val="07FBCAE0"/>
    <w:rsid w:val="0806E346"/>
    <w:rsid w:val="0807BC11"/>
    <w:rsid w:val="080F6220"/>
    <w:rsid w:val="0812EFA0"/>
    <w:rsid w:val="08148DCF"/>
    <w:rsid w:val="081A961C"/>
    <w:rsid w:val="082877D8"/>
    <w:rsid w:val="08307667"/>
    <w:rsid w:val="0843BE89"/>
    <w:rsid w:val="08640766"/>
    <w:rsid w:val="08643849"/>
    <w:rsid w:val="086BA843"/>
    <w:rsid w:val="086E38EF"/>
    <w:rsid w:val="087478C0"/>
    <w:rsid w:val="0877CE86"/>
    <w:rsid w:val="087A88EA"/>
    <w:rsid w:val="0888BAFF"/>
    <w:rsid w:val="088A2B17"/>
    <w:rsid w:val="08974507"/>
    <w:rsid w:val="08A46D16"/>
    <w:rsid w:val="08B43532"/>
    <w:rsid w:val="08C658F5"/>
    <w:rsid w:val="08C70E24"/>
    <w:rsid w:val="08C9B7DF"/>
    <w:rsid w:val="08C9D578"/>
    <w:rsid w:val="08EE038E"/>
    <w:rsid w:val="08F46FF1"/>
    <w:rsid w:val="08F49C04"/>
    <w:rsid w:val="08F83002"/>
    <w:rsid w:val="09015AFB"/>
    <w:rsid w:val="091FF7D4"/>
    <w:rsid w:val="092CB95F"/>
    <w:rsid w:val="09380E3B"/>
    <w:rsid w:val="093F3A40"/>
    <w:rsid w:val="0943178E"/>
    <w:rsid w:val="0946D10B"/>
    <w:rsid w:val="0948EC6D"/>
    <w:rsid w:val="094B4182"/>
    <w:rsid w:val="0955B89A"/>
    <w:rsid w:val="096776A2"/>
    <w:rsid w:val="09747299"/>
    <w:rsid w:val="097CF1A9"/>
    <w:rsid w:val="099C5C72"/>
    <w:rsid w:val="099ED990"/>
    <w:rsid w:val="09A1506F"/>
    <w:rsid w:val="09A4D865"/>
    <w:rsid w:val="09B30239"/>
    <w:rsid w:val="09B5FF02"/>
    <w:rsid w:val="09BC40AB"/>
    <w:rsid w:val="09BDCF83"/>
    <w:rsid w:val="09BE00C2"/>
    <w:rsid w:val="09BF8FB7"/>
    <w:rsid w:val="09C01FD0"/>
    <w:rsid w:val="09C21201"/>
    <w:rsid w:val="09CEB931"/>
    <w:rsid w:val="09D090E5"/>
    <w:rsid w:val="09D16C03"/>
    <w:rsid w:val="09DED1C6"/>
    <w:rsid w:val="09F5350B"/>
    <w:rsid w:val="0A01E2D2"/>
    <w:rsid w:val="0A09018A"/>
    <w:rsid w:val="0A0D042D"/>
    <w:rsid w:val="0A10C4E1"/>
    <w:rsid w:val="0A115153"/>
    <w:rsid w:val="0A139002"/>
    <w:rsid w:val="0A16594B"/>
    <w:rsid w:val="0A1AB4EE"/>
    <w:rsid w:val="0A1CCFED"/>
    <w:rsid w:val="0A2BB8D7"/>
    <w:rsid w:val="0A2E887D"/>
    <w:rsid w:val="0A3421BD"/>
    <w:rsid w:val="0A34CC15"/>
    <w:rsid w:val="0A461841"/>
    <w:rsid w:val="0A493530"/>
    <w:rsid w:val="0A4A4EAF"/>
    <w:rsid w:val="0A4B1046"/>
    <w:rsid w:val="0A5309EE"/>
    <w:rsid w:val="0A54C307"/>
    <w:rsid w:val="0A62FD2D"/>
    <w:rsid w:val="0A6BCE49"/>
    <w:rsid w:val="0A7C792A"/>
    <w:rsid w:val="0A84EA8D"/>
    <w:rsid w:val="0A85D935"/>
    <w:rsid w:val="0A9E85E0"/>
    <w:rsid w:val="0A9FD421"/>
    <w:rsid w:val="0AA0EEBE"/>
    <w:rsid w:val="0AA1020F"/>
    <w:rsid w:val="0AB2FEB3"/>
    <w:rsid w:val="0AC13E75"/>
    <w:rsid w:val="0ACB6457"/>
    <w:rsid w:val="0AD890A1"/>
    <w:rsid w:val="0ADC7969"/>
    <w:rsid w:val="0ADEE7EF"/>
    <w:rsid w:val="0AE20E65"/>
    <w:rsid w:val="0AF61727"/>
    <w:rsid w:val="0AF89C18"/>
    <w:rsid w:val="0AFC5EF4"/>
    <w:rsid w:val="0AFFC381"/>
    <w:rsid w:val="0B175F5E"/>
    <w:rsid w:val="0B1E6729"/>
    <w:rsid w:val="0B24E756"/>
    <w:rsid w:val="0B2E383E"/>
    <w:rsid w:val="0B345CFC"/>
    <w:rsid w:val="0B475DFD"/>
    <w:rsid w:val="0B4F4C79"/>
    <w:rsid w:val="0B54DE7A"/>
    <w:rsid w:val="0B58D2C7"/>
    <w:rsid w:val="0B58E997"/>
    <w:rsid w:val="0B5D142E"/>
    <w:rsid w:val="0B5E3C71"/>
    <w:rsid w:val="0B6DD8D6"/>
    <w:rsid w:val="0B6F73F6"/>
    <w:rsid w:val="0B70BB2A"/>
    <w:rsid w:val="0B78D401"/>
    <w:rsid w:val="0B797403"/>
    <w:rsid w:val="0B821543"/>
    <w:rsid w:val="0B860A66"/>
    <w:rsid w:val="0B8A7AB7"/>
    <w:rsid w:val="0B9E6A92"/>
    <w:rsid w:val="0BB0A7AB"/>
    <w:rsid w:val="0BB6B1D7"/>
    <w:rsid w:val="0BBA0E93"/>
    <w:rsid w:val="0BC3D4B1"/>
    <w:rsid w:val="0BD94C4D"/>
    <w:rsid w:val="0BDAE805"/>
    <w:rsid w:val="0BDD68C9"/>
    <w:rsid w:val="0BE19DCD"/>
    <w:rsid w:val="0BE61F10"/>
    <w:rsid w:val="0BF79076"/>
    <w:rsid w:val="0BFC5A7E"/>
    <w:rsid w:val="0BFDB049"/>
    <w:rsid w:val="0BFEA353"/>
    <w:rsid w:val="0BFECD8E"/>
    <w:rsid w:val="0C00FA75"/>
    <w:rsid w:val="0C02C0C4"/>
    <w:rsid w:val="0C0C4FB4"/>
    <w:rsid w:val="0C19FEAC"/>
    <w:rsid w:val="0C1E08AB"/>
    <w:rsid w:val="0C1F1280"/>
    <w:rsid w:val="0C1F7EAC"/>
    <w:rsid w:val="0C229616"/>
    <w:rsid w:val="0C2A9410"/>
    <w:rsid w:val="0C2B455B"/>
    <w:rsid w:val="0C313009"/>
    <w:rsid w:val="0C3F1A45"/>
    <w:rsid w:val="0C4C558F"/>
    <w:rsid w:val="0C616A63"/>
    <w:rsid w:val="0C62FCD2"/>
    <w:rsid w:val="0C67C89B"/>
    <w:rsid w:val="0C6B25D5"/>
    <w:rsid w:val="0C72859D"/>
    <w:rsid w:val="0C72D485"/>
    <w:rsid w:val="0C7849CA"/>
    <w:rsid w:val="0C7F1EDB"/>
    <w:rsid w:val="0C80D78B"/>
    <w:rsid w:val="0C8165D7"/>
    <w:rsid w:val="0C82D7A9"/>
    <w:rsid w:val="0C87DCD0"/>
    <w:rsid w:val="0CA6B3A5"/>
    <w:rsid w:val="0CA9204E"/>
    <w:rsid w:val="0CAA3F93"/>
    <w:rsid w:val="0CAE0BAF"/>
    <w:rsid w:val="0CB45FDC"/>
    <w:rsid w:val="0CB9FBEF"/>
    <w:rsid w:val="0CBB5B37"/>
    <w:rsid w:val="0CC2C2A4"/>
    <w:rsid w:val="0CC6393E"/>
    <w:rsid w:val="0CC6C4AE"/>
    <w:rsid w:val="0CCC9159"/>
    <w:rsid w:val="0CCE531C"/>
    <w:rsid w:val="0CD0895B"/>
    <w:rsid w:val="0CD5A985"/>
    <w:rsid w:val="0CDDEC7E"/>
    <w:rsid w:val="0CE2D343"/>
    <w:rsid w:val="0CE7711C"/>
    <w:rsid w:val="0CF5D1F7"/>
    <w:rsid w:val="0CF8D0B1"/>
    <w:rsid w:val="0CFC1C07"/>
    <w:rsid w:val="0D0DEB4E"/>
    <w:rsid w:val="0D131BD6"/>
    <w:rsid w:val="0D1B0DC3"/>
    <w:rsid w:val="0D221D1A"/>
    <w:rsid w:val="0D27EC77"/>
    <w:rsid w:val="0D291784"/>
    <w:rsid w:val="0D29CCDB"/>
    <w:rsid w:val="0D2F2438"/>
    <w:rsid w:val="0D377889"/>
    <w:rsid w:val="0D5924D0"/>
    <w:rsid w:val="0D5C1978"/>
    <w:rsid w:val="0D5C8CA8"/>
    <w:rsid w:val="0D614F71"/>
    <w:rsid w:val="0D77DE39"/>
    <w:rsid w:val="0D7DE044"/>
    <w:rsid w:val="0D7E14AD"/>
    <w:rsid w:val="0D8D4BBF"/>
    <w:rsid w:val="0DA56C70"/>
    <w:rsid w:val="0DA824B8"/>
    <w:rsid w:val="0DB374E7"/>
    <w:rsid w:val="0DD4F659"/>
    <w:rsid w:val="0DD6F3C2"/>
    <w:rsid w:val="0DDCAD48"/>
    <w:rsid w:val="0DDF8CCE"/>
    <w:rsid w:val="0DE857B1"/>
    <w:rsid w:val="0DEDF47B"/>
    <w:rsid w:val="0DF98ED9"/>
    <w:rsid w:val="0E074618"/>
    <w:rsid w:val="0E0FB50E"/>
    <w:rsid w:val="0E122754"/>
    <w:rsid w:val="0E18B08B"/>
    <w:rsid w:val="0E22813B"/>
    <w:rsid w:val="0E2800F1"/>
    <w:rsid w:val="0E2BA377"/>
    <w:rsid w:val="0E3DD569"/>
    <w:rsid w:val="0E44B106"/>
    <w:rsid w:val="0E45B93F"/>
    <w:rsid w:val="0E4A3B89"/>
    <w:rsid w:val="0E50303D"/>
    <w:rsid w:val="0E55D717"/>
    <w:rsid w:val="0E5CA90B"/>
    <w:rsid w:val="0E5E62EA"/>
    <w:rsid w:val="0E5EFAE8"/>
    <w:rsid w:val="0E608C14"/>
    <w:rsid w:val="0E6D4CC6"/>
    <w:rsid w:val="0E700DE2"/>
    <w:rsid w:val="0E7D4112"/>
    <w:rsid w:val="0E7E20DE"/>
    <w:rsid w:val="0E7EA3A4"/>
    <w:rsid w:val="0E8EC96D"/>
    <w:rsid w:val="0E912700"/>
    <w:rsid w:val="0E921B76"/>
    <w:rsid w:val="0E9828AA"/>
    <w:rsid w:val="0E98C6F8"/>
    <w:rsid w:val="0E9DEF6F"/>
    <w:rsid w:val="0EAA076D"/>
    <w:rsid w:val="0EAAF724"/>
    <w:rsid w:val="0EACFF37"/>
    <w:rsid w:val="0EB29DAB"/>
    <w:rsid w:val="0EBC62E7"/>
    <w:rsid w:val="0ECBCC6A"/>
    <w:rsid w:val="0EDE2D15"/>
    <w:rsid w:val="0EE14BF0"/>
    <w:rsid w:val="0EE17C8D"/>
    <w:rsid w:val="0EE48672"/>
    <w:rsid w:val="0EEAAC4C"/>
    <w:rsid w:val="0EEEFAF2"/>
    <w:rsid w:val="0EF59F94"/>
    <w:rsid w:val="0EF705B8"/>
    <w:rsid w:val="0EFF49A3"/>
    <w:rsid w:val="0EFFAC96"/>
    <w:rsid w:val="0F0835B4"/>
    <w:rsid w:val="0F1DBFD2"/>
    <w:rsid w:val="0F2773E2"/>
    <w:rsid w:val="0F2E4EF4"/>
    <w:rsid w:val="0F2F5565"/>
    <w:rsid w:val="0F366E50"/>
    <w:rsid w:val="0F419E87"/>
    <w:rsid w:val="0F4B4749"/>
    <w:rsid w:val="0F4C311B"/>
    <w:rsid w:val="0F4FFE54"/>
    <w:rsid w:val="0F5A36D8"/>
    <w:rsid w:val="0F5CEE30"/>
    <w:rsid w:val="0F63D0D5"/>
    <w:rsid w:val="0F66CFF2"/>
    <w:rsid w:val="0F71C106"/>
    <w:rsid w:val="0F75BAE0"/>
    <w:rsid w:val="0F7F4462"/>
    <w:rsid w:val="0F7F5617"/>
    <w:rsid w:val="0F8B822D"/>
    <w:rsid w:val="0F9A767D"/>
    <w:rsid w:val="0F9DB8D9"/>
    <w:rsid w:val="0FACBD39"/>
    <w:rsid w:val="0FAE25C2"/>
    <w:rsid w:val="0FAE82E4"/>
    <w:rsid w:val="0FB11D73"/>
    <w:rsid w:val="0FBE519C"/>
    <w:rsid w:val="0FC2A76F"/>
    <w:rsid w:val="0FD61469"/>
    <w:rsid w:val="0FE92848"/>
    <w:rsid w:val="0FF05BBF"/>
    <w:rsid w:val="0FF5CAFB"/>
    <w:rsid w:val="0FFE430E"/>
    <w:rsid w:val="1003FB2B"/>
    <w:rsid w:val="10093F27"/>
    <w:rsid w:val="100D6D49"/>
    <w:rsid w:val="1013FABB"/>
    <w:rsid w:val="1016CC86"/>
    <w:rsid w:val="101C7426"/>
    <w:rsid w:val="101E14CC"/>
    <w:rsid w:val="10203F55"/>
    <w:rsid w:val="102CBE52"/>
    <w:rsid w:val="1035A0E2"/>
    <w:rsid w:val="103858FB"/>
    <w:rsid w:val="1043C6DC"/>
    <w:rsid w:val="10460468"/>
    <w:rsid w:val="1059C50B"/>
    <w:rsid w:val="10610D19"/>
    <w:rsid w:val="1061970F"/>
    <w:rsid w:val="106367B3"/>
    <w:rsid w:val="107203D9"/>
    <w:rsid w:val="108617E7"/>
    <w:rsid w:val="10889C94"/>
    <w:rsid w:val="108BFFEB"/>
    <w:rsid w:val="109D1E0B"/>
    <w:rsid w:val="10A3FCCF"/>
    <w:rsid w:val="10A9B1F5"/>
    <w:rsid w:val="10AE3E02"/>
    <w:rsid w:val="10BA7536"/>
    <w:rsid w:val="10BBA167"/>
    <w:rsid w:val="10C95646"/>
    <w:rsid w:val="10CD2D89"/>
    <w:rsid w:val="10D7D9A2"/>
    <w:rsid w:val="10D858AA"/>
    <w:rsid w:val="10DD2121"/>
    <w:rsid w:val="10E32AB8"/>
    <w:rsid w:val="10E678D9"/>
    <w:rsid w:val="10E94697"/>
    <w:rsid w:val="10E94AE8"/>
    <w:rsid w:val="10ED5BC9"/>
    <w:rsid w:val="10F026CD"/>
    <w:rsid w:val="10F40014"/>
    <w:rsid w:val="10F8D604"/>
    <w:rsid w:val="10FCDE53"/>
    <w:rsid w:val="11081FD6"/>
    <w:rsid w:val="11179479"/>
    <w:rsid w:val="111CAFFF"/>
    <w:rsid w:val="11252AB5"/>
    <w:rsid w:val="1126AA0F"/>
    <w:rsid w:val="112A5C26"/>
    <w:rsid w:val="113044F1"/>
    <w:rsid w:val="11420112"/>
    <w:rsid w:val="1143419B"/>
    <w:rsid w:val="114E1FE0"/>
    <w:rsid w:val="1155D09E"/>
    <w:rsid w:val="11565367"/>
    <w:rsid w:val="115A9A2E"/>
    <w:rsid w:val="115CCE9F"/>
    <w:rsid w:val="115FDEB8"/>
    <w:rsid w:val="117FC210"/>
    <w:rsid w:val="1185A00E"/>
    <w:rsid w:val="11900C74"/>
    <w:rsid w:val="11942C42"/>
    <w:rsid w:val="11959706"/>
    <w:rsid w:val="11A88BD8"/>
    <w:rsid w:val="11A96883"/>
    <w:rsid w:val="11B7FC86"/>
    <w:rsid w:val="11D7910F"/>
    <w:rsid w:val="11EBB652"/>
    <w:rsid w:val="11EE827D"/>
    <w:rsid w:val="1206F2E0"/>
    <w:rsid w:val="1206FBE5"/>
    <w:rsid w:val="1207FD44"/>
    <w:rsid w:val="1211F248"/>
    <w:rsid w:val="12152950"/>
    <w:rsid w:val="1217086B"/>
    <w:rsid w:val="1219EFD2"/>
    <w:rsid w:val="121AA13B"/>
    <w:rsid w:val="1224F28E"/>
    <w:rsid w:val="1230A950"/>
    <w:rsid w:val="12393765"/>
    <w:rsid w:val="123E24DA"/>
    <w:rsid w:val="123EBE82"/>
    <w:rsid w:val="124624DD"/>
    <w:rsid w:val="1247568D"/>
    <w:rsid w:val="124B12D9"/>
    <w:rsid w:val="12568822"/>
    <w:rsid w:val="125CD43B"/>
    <w:rsid w:val="12645B5F"/>
    <w:rsid w:val="1269939B"/>
    <w:rsid w:val="127525B0"/>
    <w:rsid w:val="1283A2A5"/>
    <w:rsid w:val="128F9BA5"/>
    <w:rsid w:val="128FD075"/>
    <w:rsid w:val="129B7197"/>
    <w:rsid w:val="12A36D8F"/>
    <w:rsid w:val="12A4F66B"/>
    <w:rsid w:val="12C1E0F6"/>
    <w:rsid w:val="12CA6439"/>
    <w:rsid w:val="12CD2105"/>
    <w:rsid w:val="12D0D177"/>
    <w:rsid w:val="12D62EE9"/>
    <w:rsid w:val="12DD727E"/>
    <w:rsid w:val="12E58442"/>
    <w:rsid w:val="12E78B4E"/>
    <w:rsid w:val="12EAC322"/>
    <w:rsid w:val="12F020BB"/>
    <w:rsid w:val="12F2FC9C"/>
    <w:rsid w:val="12F5F25E"/>
    <w:rsid w:val="12F89F00"/>
    <w:rsid w:val="12FF2622"/>
    <w:rsid w:val="12FF892F"/>
    <w:rsid w:val="13026AF2"/>
    <w:rsid w:val="1303ADFD"/>
    <w:rsid w:val="130D4A09"/>
    <w:rsid w:val="1314A213"/>
    <w:rsid w:val="13210022"/>
    <w:rsid w:val="13262A38"/>
    <w:rsid w:val="132ED0A5"/>
    <w:rsid w:val="1339BA5D"/>
    <w:rsid w:val="133B9A8A"/>
    <w:rsid w:val="1346E942"/>
    <w:rsid w:val="1347CB07"/>
    <w:rsid w:val="135C858D"/>
    <w:rsid w:val="135EA026"/>
    <w:rsid w:val="13616FCC"/>
    <w:rsid w:val="136322F1"/>
    <w:rsid w:val="1365137B"/>
    <w:rsid w:val="1365E9BF"/>
    <w:rsid w:val="13663E06"/>
    <w:rsid w:val="136EED27"/>
    <w:rsid w:val="1377A140"/>
    <w:rsid w:val="1380705A"/>
    <w:rsid w:val="13893342"/>
    <w:rsid w:val="139875DB"/>
    <w:rsid w:val="139EF689"/>
    <w:rsid w:val="13A65364"/>
    <w:rsid w:val="13A89020"/>
    <w:rsid w:val="13B976FA"/>
    <w:rsid w:val="13BFC26C"/>
    <w:rsid w:val="13C461F6"/>
    <w:rsid w:val="13C6D7B4"/>
    <w:rsid w:val="13D4570B"/>
    <w:rsid w:val="13E91554"/>
    <w:rsid w:val="13F0B716"/>
    <w:rsid w:val="13F130F5"/>
    <w:rsid w:val="13F565BE"/>
    <w:rsid w:val="13F88512"/>
    <w:rsid w:val="13F9E184"/>
    <w:rsid w:val="13FB14CD"/>
    <w:rsid w:val="14079E39"/>
    <w:rsid w:val="1409DF73"/>
    <w:rsid w:val="140C6EA3"/>
    <w:rsid w:val="14175D54"/>
    <w:rsid w:val="141986AE"/>
    <w:rsid w:val="141EBC4A"/>
    <w:rsid w:val="142A9091"/>
    <w:rsid w:val="142CBFE6"/>
    <w:rsid w:val="14337A3D"/>
    <w:rsid w:val="1437C08B"/>
    <w:rsid w:val="143924C2"/>
    <w:rsid w:val="1441B357"/>
    <w:rsid w:val="144EF85E"/>
    <w:rsid w:val="1450A43B"/>
    <w:rsid w:val="1454EC75"/>
    <w:rsid w:val="1458A5FB"/>
    <w:rsid w:val="146313CC"/>
    <w:rsid w:val="146CADAE"/>
    <w:rsid w:val="14732956"/>
    <w:rsid w:val="14790BAB"/>
    <w:rsid w:val="14812B0B"/>
    <w:rsid w:val="148318AD"/>
    <w:rsid w:val="1484CE6E"/>
    <w:rsid w:val="14869383"/>
    <w:rsid w:val="1486C8D3"/>
    <w:rsid w:val="14894F8F"/>
    <w:rsid w:val="148C0D5D"/>
    <w:rsid w:val="148C57A7"/>
    <w:rsid w:val="148E02EE"/>
    <w:rsid w:val="149ACA2D"/>
    <w:rsid w:val="149CFDF2"/>
    <w:rsid w:val="14A3A6C3"/>
    <w:rsid w:val="14A7E4BE"/>
    <w:rsid w:val="14AA7CCB"/>
    <w:rsid w:val="14B06AD2"/>
    <w:rsid w:val="14C20564"/>
    <w:rsid w:val="14C80B9A"/>
    <w:rsid w:val="14E3AFE7"/>
    <w:rsid w:val="14EA122C"/>
    <w:rsid w:val="14EEF6BF"/>
    <w:rsid w:val="14FFEDF2"/>
    <w:rsid w:val="1500627A"/>
    <w:rsid w:val="1500F7E4"/>
    <w:rsid w:val="1508087C"/>
    <w:rsid w:val="150A0343"/>
    <w:rsid w:val="150A81CA"/>
    <w:rsid w:val="151FC938"/>
    <w:rsid w:val="15224191"/>
    <w:rsid w:val="152CBF64"/>
    <w:rsid w:val="15307557"/>
    <w:rsid w:val="1534FAAE"/>
    <w:rsid w:val="153E8BE7"/>
    <w:rsid w:val="1564CEC3"/>
    <w:rsid w:val="156CB93C"/>
    <w:rsid w:val="1574B816"/>
    <w:rsid w:val="157A5676"/>
    <w:rsid w:val="1584EA29"/>
    <w:rsid w:val="158E480F"/>
    <w:rsid w:val="159F4F69"/>
    <w:rsid w:val="15B1D0AD"/>
    <w:rsid w:val="15BA8CAB"/>
    <w:rsid w:val="15C03E35"/>
    <w:rsid w:val="15C71E0A"/>
    <w:rsid w:val="15DC5144"/>
    <w:rsid w:val="15DD738A"/>
    <w:rsid w:val="15DF68CF"/>
    <w:rsid w:val="15E5333D"/>
    <w:rsid w:val="15E5E3A0"/>
    <w:rsid w:val="15E64CA0"/>
    <w:rsid w:val="15ED555C"/>
    <w:rsid w:val="15F23CD6"/>
    <w:rsid w:val="160D45CA"/>
    <w:rsid w:val="1623672C"/>
    <w:rsid w:val="16251FF0"/>
    <w:rsid w:val="1629C043"/>
    <w:rsid w:val="16332947"/>
    <w:rsid w:val="1657A8AF"/>
    <w:rsid w:val="16611378"/>
    <w:rsid w:val="166A0CCD"/>
    <w:rsid w:val="166ED146"/>
    <w:rsid w:val="167303C4"/>
    <w:rsid w:val="167BE796"/>
    <w:rsid w:val="168B95BA"/>
    <w:rsid w:val="1696CEBE"/>
    <w:rsid w:val="16A42C71"/>
    <w:rsid w:val="16AB8239"/>
    <w:rsid w:val="16ADDBDF"/>
    <w:rsid w:val="16B8111C"/>
    <w:rsid w:val="16BC7B13"/>
    <w:rsid w:val="16C0CBEF"/>
    <w:rsid w:val="16C7386E"/>
    <w:rsid w:val="16CD7628"/>
    <w:rsid w:val="16CDE427"/>
    <w:rsid w:val="16DBF34D"/>
    <w:rsid w:val="16ED1ABB"/>
    <w:rsid w:val="16F98EC0"/>
    <w:rsid w:val="170106A2"/>
    <w:rsid w:val="17044877"/>
    <w:rsid w:val="17133A7A"/>
    <w:rsid w:val="17265370"/>
    <w:rsid w:val="1735B279"/>
    <w:rsid w:val="17448071"/>
    <w:rsid w:val="17564930"/>
    <w:rsid w:val="175D7430"/>
    <w:rsid w:val="176D46B7"/>
    <w:rsid w:val="176DB266"/>
    <w:rsid w:val="177316DB"/>
    <w:rsid w:val="17735E1A"/>
    <w:rsid w:val="1775F379"/>
    <w:rsid w:val="1783893A"/>
    <w:rsid w:val="17849CFF"/>
    <w:rsid w:val="1794ECBD"/>
    <w:rsid w:val="179BB7A3"/>
    <w:rsid w:val="17A6665C"/>
    <w:rsid w:val="17AC1F06"/>
    <w:rsid w:val="17AD708C"/>
    <w:rsid w:val="17B3BE91"/>
    <w:rsid w:val="17BF9EFA"/>
    <w:rsid w:val="17C590A4"/>
    <w:rsid w:val="17C5C5BA"/>
    <w:rsid w:val="17C96381"/>
    <w:rsid w:val="17CC9170"/>
    <w:rsid w:val="17D424CE"/>
    <w:rsid w:val="17E80B94"/>
    <w:rsid w:val="17F129C4"/>
    <w:rsid w:val="17F2FB8D"/>
    <w:rsid w:val="17F43A3F"/>
    <w:rsid w:val="17F48389"/>
    <w:rsid w:val="17FA4C33"/>
    <w:rsid w:val="18045EC7"/>
    <w:rsid w:val="180A733C"/>
    <w:rsid w:val="181E5EFD"/>
    <w:rsid w:val="182C911F"/>
    <w:rsid w:val="1835F550"/>
    <w:rsid w:val="18369414"/>
    <w:rsid w:val="1837299A"/>
    <w:rsid w:val="183D629E"/>
    <w:rsid w:val="184AACB0"/>
    <w:rsid w:val="184E84A8"/>
    <w:rsid w:val="18513D1D"/>
    <w:rsid w:val="1851CFD4"/>
    <w:rsid w:val="185CA3FC"/>
    <w:rsid w:val="187823DF"/>
    <w:rsid w:val="1885DB98"/>
    <w:rsid w:val="189FCEA5"/>
    <w:rsid w:val="18B21952"/>
    <w:rsid w:val="18B68994"/>
    <w:rsid w:val="18B70120"/>
    <w:rsid w:val="18B94FE7"/>
    <w:rsid w:val="18BCFB17"/>
    <w:rsid w:val="18BF82FB"/>
    <w:rsid w:val="18BFE3A3"/>
    <w:rsid w:val="18BFF389"/>
    <w:rsid w:val="18C3AADF"/>
    <w:rsid w:val="18C4A218"/>
    <w:rsid w:val="18CDA130"/>
    <w:rsid w:val="18D8AD22"/>
    <w:rsid w:val="18DB8279"/>
    <w:rsid w:val="18DC6239"/>
    <w:rsid w:val="18DD5096"/>
    <w:rsid w:val="18E077C4"/>
    <w:rsid w:val="18E40A70"/>
    <w:rsid w:val="18EFA432"/>
    <w:rsid w:val="18F14A71"/>
    <w:rsid w:val="18F1861D"/>
    <w:rsid w:val="18FBA258"/>
    <w:rsid w:val="18FD17E6"/>
    <w:rsid w:val="18FF11F9"/>
    <w:rsid w:val="1901191E"/>
    <w:rsid w:val="19053ABC"/>
    <w:rsid w:val="191CB58A"/>
    <w:rsid w:val="191E2A2D"/>
    <w:rsid w:val="191FF4F5"/>
    <w:rsid w:val="1927C861"/>
    <w:rsid w:val="192A1226"/>
    <w:rsid w:val="192CF39C"/>
    <w:rsid w:val="192D74D0"/>
    <w:rsid w:val="194156B2"/>
    <w:rsid w:val="1959FDA5"/>
    <w:rsid w:val="195D7C80"/>
    <w:rsid w:val="1966496A"/>
    <w:rsid w:val="1972666A"/>
    <w:rsid w:val="197E29C0"/>
    <w:rsid w:val="19846FA7"/>
    <w:rsid w:val="199366C2"/>
    <w:rsid w:val="19A0129B"/>
    <w:rsid w:val="19A6D5FE"/>
    <w:rsid w:val="19AA2E0F"/>
    <w:rsid w:val="19B5DCC3"/>
    <w:rsid w:val="19C25AF9"/>
    <w:rsid w:val="19CAAA55"/>
    <w:rsid w:val="19E1802D"/>
    <w:rsid w:val="19E2E189"/>
    <w:rsid w:val="19E323B1"/>
    <w:rsid w:val="19EA5509"/>
    <w:rsid w:val="19EDA035"/>
    <w:rsid w:val="19EFB1DE"/>
    <w:rsid w:val="19FE82C1"/>
    <w:rsid w:val="1A0BE209"/>
    <w:rsid w:val="1A177122"/>
    <w:rsid w:val="1A187260"/>
    <w:rsid w:val="1A201E0B"/>
    <w:rsid w:val="1A22DEAE"/>
    <w:rsid w:val="1A241799"/>
    <w:rsid w:val="1A2FACF0"/>
    <w:rsid w:val="1A317976"/>
    <w:rsid w:val="1A3B90D8"/>
    <w:rsid w:val="1A3BBB35"/>
    <w:rsid w:val="1A3D58CA"/>
    <w:rsid w:val="1A46386A"/>
    <w:rsid w:val="1A4E11F8"/>
    <w:rsid w:val="1A52D65C"/>
    <w:rsid w:val="1A580329"/>
    <w:rsid w:val="1A74C60C"/>
    <w:rsid w:val="1A79D842"/>
    <w:rsid w:val="1A7D6579"/>
    <w:rsid w:val="1A932943"/>
    <w:rsid w:val="1A958036"/>
    <w:rsid w:val="1A967805"/>
    <w:rsid w:val="1A9973D1"/>
    <w:rsid w:val="1A9BAAF8"/>
    <w:rsid w:val="1AA4E779"/>
    <w:rsid w:val="1AA83D5B"/>
    <w:rsid w:val="1AB8A460"/>
    <w:rsid w:val="1AB9FA8E"/>
    <w:rsid w:val="1ABC6E24"/>
    <w:rsid w:val="1AD12CBA"/>
    <w:rsid w:val="1AD62902"/>
    <w:rsid w:val="1AD84B6D"/>
    <w:rsid w:val="1AD9D985"/>
    <w:rsid w:val="1ADA0B18"/>
    <w:rsid w:val="1AEE79A5"/>
    <w:rsid w:val="1AF45D10"/>
    <w:rsid w:val="1AF7CFA5"/>
    <w:rsid w:val="1AF9BB1A"/>
    <w:rsid w:val="1B11B2B9"/>
    <w:rsid w:val="1B19FCE6"/>
    <w:rsid w:val="1B207F5F"/>
    <w:rsid w:val="1B27AD3F"/>
    <w:rsid w:val="1B2E22A4"/>
    <w:rsid w:val="1B36A2B4"/>
    <w:rsid w:val="1B3A143C"/>
    <w:rsid w:val="1B58BDE3"/>
    <w:rsid w:val="1B5A8905"/>
    <w:rsid w:val="1B5AABF9"/>
    <w:rsid w:val="1B70A3E1"/>
    <w:rsid w:val="1B714FEB"/>
    <w:rsid w:val="1B79E71B"/>
    <w:rsid w:val="1B979824"/>
    <w:rsid w:val="1BA372C2"/>
    <w:rsid w:val="1BA75B8D"/>
    <w:rsid w:val="1BAB7546"/>
    <w:rsid w:val="1BABAEC1"/>
    <w:rsid w:val="1BAD30A1"/>
    <w:rsid w:val="1BB60C08"/>
    <w:rsid w:val="1BB8CDAD"/>
    <w:rsid w:val="1BC5A301"/>
    <w:rsid w:val="1BDF791C"/>
    <w:rsid w:val="1BFE540E"/>
    <w:rsid w:val="1C0084A2"/>
    <w:rsid w:val="1C1008D5"/>
    <w:rsid w:val="1C105E6E"/>
    <w:rsid w:val="1C240120"/>
    <w:rsid w:val="1C2462E0"/>
    <w:rsid w:val="1C2CE428"/>
    <w:rsid w:val="1C37519B"/>
    <w:rsid w:val="1C3DE2EE"/>
    <w:rsid w:val="1C4089CA"/>
    <w:rsid w:val="1C41A47B"/>
    <w:rsid w:val="1C477E23"/>
    <w:rsid w:val="1C4A75DB"/>
    <w:rsid w:val="1C4FC37A"/>
    <w:rsid w:val="1C5A5D51"/>
    <w:rsid w:val="1C5F5F64"/>
    <w:rsid w:val="1C67928D"/>
    <w:rsid w:val="1C810E22"/>
    <w:rsid w:val="1C819981"/>
    <w:rsid w:val="1C88453A"/>
    <w:rsid w:val="1C88BB89"/>
    <w:rsid w:val="1C8FD437"/>
    <w:rsid w:val="1C95904B"/>
    <w:rsid w:val="1C9CD4A4"/>
    <w:rsid w:val="1CA1E6E4"/>
    <w:rsid w:val="1CA6A3BA"/>
    <w:rsid w:val="1CB09A08"/>
    <w:rsid w:val="1CC54738"/>
    <w:rsid w:val="1CCEF853"/>
    <w:rsid w:val="1CDD5463"/>
    <w:rsid w:val="1D01DF8A"/>
    <w:rsid w:val="1D070868"/>
    <w:rsid w:val="1D071BCB"/>
    <w:rsid w:val="1D12F938"/>
    <w:rsid w:val="1D2D9417"/>
    <w:rsid w:val="1D32A9B7"/>
    <w:rsid w:val="1D3DD0A1"/>
    <w:rsid w:val="1D47E20A"/>
    <w:rsid w:val="1D4B5CC1"/>
    <w:rsid w:val="1D586B28"/>
    <w:rsid w:val="1D5C9EE5"/>
    <w:rsid w:val="1D62DF97"/>
    <w:rsid w:val="1D6FF2FD"/>
    <w:rsid w:val="1D728D69"/>
    <w:rsid w:val="1D755C74"/>
    <w:rsid w:val="1D8D185F"/>
    <w:rsid w:val="1D8DFCD7"/>
    <w:rsid w:val="1D9696EE"/>
    <w:rsid w:val="1D97D77E"/>
    <w:rsid w:val="1DA38898"/>
    <w:rsid w:val="1DAAD57C"/>
    <w:rsid w:val="1DAFD35C"/>
    <w:rsid w:val="1DBCC6F9"/>
    <w:rsid w:val="1DBD43C6"/>
    <w:rsid w:val="1DC2067A"/>
    <w:rsid w:val="1DD3CC57"/>
    <w:rsid w:val="1DE4E9E9"/>
    <w:rsid w:val="1DEA08BB"/>
    <w:rsid w:val="1DEBF229"/>
    <w:rsid w:val="1DEDA029"/>
    <w:rsid w:val="1DF6080B"/>
    <w:rsid w:val="1DF83851"/>
    <w:rsid w:val="1E051888"/>
    <w:rsid w:val="1E084F46"/>
    <w:rsid w:val="1E228F9F"/>
    <w:rsid w:val="1E274DCB"/>
    <w:rsid w:val="1E3E5E04"/>
    <w:rsid w:val="1E43B811"/>
    <w:rsid w:val="1E4867E2"/>
    <w:rsid w:val="1E4C4371"/>
    <w:rsid w:val="1E56E89B"/>
    <w:rsid w:val="1E5ABA49"/>
    <w:rsid w:val="1E65552E"/>
    <w:rsid w:val="1E66579E"/>
    <w:rsid w:val="1E67D988"/>
    <w:rsid w:val="1E703DA2"/>
    <w:rsid w:val="1E79EDAB"/>
    <w:rsid w:val="1E7F002F"/>
    <w:rsid w:val="1E89FAF3"/>
    <w:rsid w:val="1E8BF0D1"/>
    <w:rsid w:val="1EB5C656"/>
    <w:rsid w:val="1EB955C8"/>
    <w:rsid w:val="1EC38A8C"/>
    <w:rsid w:val="1ECE63D4"/>
    <w:rsid w:val="1ED3A1AA"/>
    <w:rsid w:val="1EE02CC9"/>
    <w:rsid w:val="1EE5EAB9"/>
    <w:rsid w:val="1EF780E6"/>
    <w:rsid w:val="1F04CFE4"/>
    <w:rsid w:val="1F0F2C58"/>
    <w:rsid w:val="1F112CD5"/>
    <w:rsid w:val="1F2A0EF5"/>
    <w:rsid w:val="1F337B61"/>
    <w:rsid w:val="1F356EDF"/>
    <w:rsid w:val="1F360F71"/>
    <w:rsid w:val="1F382564"/>
    <w:rsid w:val="1F4247AF"/>
    <w:rsid w:val="1F608BF5"/>
    <w:rsid w:val="1F60CC42"/>
    <w:rsid w:val="1F6877B6"/>
    <w:rsid w:val="1F76921C"/>
    <w:rsid w:val="1F79E585"/>
    <w:rsid w:val="1F7D2C53"/>
    <w:rsid w:val="1F7E750C"/>
    <w:rsid w:val="1F7F26B3"/>
    <w:rsid w:val="1F842D64"/>
    <w:rsid w:val="1F85D91C"/>
    <w:rsid w:val="1F8D6BB1"/>
    <w:rsid w:val="1F90B315"/>
    <w:rsid w:val="1F984161"/>
    <w:rsid w:val="1FA30149"/>
    <w:rsid w:val="1FB26A02"/>
    <w:rsid w:val="1FB95427"/>
    <w:rsid w:val="1FBF6BF9"/>
    <w:rsid w:val="1FC008E8"/>
    <w:rsid w:val="1FC592D1"/>
    <w:rsid w:val="1FCAF31E"/>
    <w:rsid w:val="1FDAEAC0"/>
    <w:rsid w:val="1FDD7874"/>
    <w:rsid w:val="1FF72EB8"/>
    <w:rsid w:val="1FF894A3"/>
    <w:rsid w:val="2000AEC9"/>
    <w:rsid w:val="2020F7A6"/>
    <w:rsid w:val="2023FAD1"/>
    <w:rsid w:val="2039804C"/>
    <w:rsid w:val="2050BF27"/>
    <w:rsid w:val="205176B4"/>
    <w:rsid w:val="20594079"/>
    <w:rsid w:val="205A918A"/>
    <w:rsid w:val="205ED838"/>
    <w:rsid w:val="205F4F73"/>
    <w:rsid w:val="20651E41"/>
    <w:rsid w:val="20747790"/>
    <w:rsid w:val="2076FC11"/>
    <w:rsid w:val="2084599B"/>
    <w:rsid w:val="20858767"/>
    <w:rsid w:val="20866898"/>
    <w:rsid w:val="208FD81C"/>
    <w:rsid w:val="208FE4B4"/>
    <w:rsid w:val="2093B6E2"/>
    <w:rsid w:val="20AAFCB9"/>
    <w:rsid w:val="20AE94C9"/>
    <w:rsid w:val="20CA9298"/>
    <w:rsid w:val="20CC5B5C"/>
    <w:rsid w:val="20CF9536"/>
    <w:rsid w:val="20D68537"/>
    <w:rsid w:val="20D95390"/>
    <w:rsid w:val="20E08AB0"/>
    <w:rsid w:val="20E8AE8B"/>
    <w:rsid w:val="210201CB"/>
    <w:rsid w:val="2103F149"/>
    <w:rsid w:val="210B8D80"/>
    <w:rsid w:val="212F51A8"/>
    <w:rsid w:val="213420AA"/>
    <w:rsid w:val="2139809A"/>
    <w:rsid w:val="213B49D2"/>
    <w:rsid w:val="213F12F4"/>
    <w:rsid w:val="215375FE"/>
    <w:rsid w:val="216E4831"/>
    <w:rsid w:val="216EEA2D"/>
    <w:rsid w:val="216F4CE6"/>
    <w:rsid w:val="21957BE1"/>
    <w:rsid w:val="21A24147"/>
    <w:rsid w:val="21AC73CD"/>
    <w:rsid w:val="21C4E323"/>
    <w:rsid w:val="21C63E87"/>
    <w:rsid w:val="21E0D811"/>
    <w:rsid w:val="21E14BDB"/>
    <w:rsid w:val="21EC6F82"/>
    <w:rsid w:val="21EE34E0"/>
    <w:rsid w:val="21F380A8"/>
    <w:rsid w:val="2207EBF0"/>
    <w:rsid w:val="2210BFD7"/>
    <w:rsid w:val="2223C352"/>
    <w:rsid w:val="2232607D"/>
    <w:rsid w:val="223A1935"/>
    <w:rsid w:val="223ADC2B"/>
    <w:rsid w:val="223C3025"/>
    <w:rsid w:val="223FAFB4"/>
    <w:rsid w:val="2246D559"/>
    <w:rsid w:val="2250B5A3"/>
    <w:rsid w:val="2259B203"/>
    <w:rsid w:val="226CD27F"/>
    <w:rsid w:val="226F4D5D"/>
    <w:rsid w:val="227510BB"/>
    <w:rsid w:val="22758318"/>
    <w:rsid w:val="22776057"/>
    <w:rsid w:val="227A1CC4"/>
    <w:rsid w:val="228EDF66"/>
    <w:rsid w:val="22933150"/>
    <w:rsid w:val="229411DC"/>
    <w:rsid w:val="2294E565"/>
    <w:rsid w:val="229B6966"/>
    <w:rsid w:val="22A53B65"/>
    <w:rsid w:val="22B8DCFE"/>
    <w:rsid w:val="22C78009"/>
    <w:rsid w:val="22CB31A2"/>
    <w:rsid w:val="22CC7F76"/>
    <w:rsid w:val="22D1E8EF"/>
    <w:rsid w:val="22D8CE7D"/>
    <w:rsid w:val="22DAF7E2"/>
    <w:rsid w:val="22DB5F2F"/>
    <w:rsid w:val="22DE3878"/>
    <w:rsid w:val="22E4EB6A"/>
    <w:rsid w:val="22E84597"/>
    <w:rsid w:val="22EDFC5E"/>
    <w:rsid w:val="22EF9B88"/>
    <w:rsid w:val="22F04FA6"/>
    <w:rsid w:val="22F08C0E"/>
    <w:rsid w:val="22F163AA"/>
    <w:rsid w:val="22F8E384"/>
    <w:rsid w:val="2303137C"/>
    <w:rsid w:val="2303DC4D"/>
    <w:rsid w:val="230F292D"/>
    <w:rsid w:val="23109E23"/>
    <w:rsid w:val="23132DA8"/>
    <w:rsid w:val="2315E53E"/>
    <w:rsid w:val="23232B51"/>
    <w:rsid w:val="23468F71"/>
    <w:rsid w:val="23586E41"/>
    <w:rsid w:val="23685600"/>
    <w:rsid w:val="236F1402"/>
    <w:rsid w:val="23795695"/>
    <w:rsid w:val="237B3745"/>
    <w:rsid w:val="238C3CAA"/>
    <w:rsid w:val="23950733"/>
    <w:rsid w:val="23972C68"/>
    <w:rsid w:val="239CE04A"/>
    <w:rsid w:val="23A30B0F"/>
    <w:rsid w:val="23ABDA02"/>
    <w:rsid w:val="23B6872B"/>
    <w:rsid w:val="23C02BE3"/>
    <w:rsid w:val="23C0670B"/>
    <w:rsid w:val="23CDBBC0"/>
    <w:rsid w:val="23D3F620"/>
    <w:rsid w:val="23E055AE"/>
    <w:rsid w:val="23EBAE1B"/>
    <w:rsid w:val="23EF6AFF"/>
    <w:rsid w:val="23EFCE5D"/>
    <w:rsid w:val="23F014EE"/>
    <w:rsid w:val="23FAE3BC"/>
    <w:rsid w:val="23FE25A6"/>
    <w:rsid w:val="24042BA0"/>
    <w:rsid w:val="24288FCD"/>
    <w:rsid w:val="2432F587"/>
    <w:rsid w:val="2439E1B4"/>
    <w:rsid w:val="24430DDB"/>
    <w:rsid w:val="2448F695"/>
    <w:rsid w:val="244A280D"/>
    <w:rsid w:val="244BEC17"/>
    <w:rsid w:val="2454A89B"/>
    <w:rsid w:val="2454DBF1"/>
    <w:rsid w:val="245A27A8"/>
    <w:rsid w:val="245EDF54"/>
    <w:rsid w:val="2473265A"/>
    <w:rsid w:val="24764FA4"/>
    <w:rsid w:val="248C69E0"/>
    <w:rsid w:val="2490D263"/>
    <w:rsid w:val="2493A08B"/>
    <w:rsid w:val="24960099"/>
    <w:rsid w:val="24997F79"/>
    <w:rsid w:val="249CDFE4"/>
    <w:rsid w:val="249CEBBC"/>
    <w:rsid w:val="24AF36D5"/>
    <w:rsid w:val="24C238D1"/>
    <w:rsid w:val="24C2FF37"/>
    <w:rsid w:val="24CCCFA7"/>
    <w:rsid w:val="24E618AD"/>
    <w:rsid w:val="24EC48AC"/>
    <w:rsid w:val="24FD28E6"/>
    <w:rsid w:val="24FD5CD7"/>
    <w:rsid w:val="24FEA908"/>
    <w:rsid w:val="24FF0937"/>
    <w:rsid w:val="2501E123"/>
    <w:rsid w:val="25109451"/>
    <w:rsid w:val="2513EC69"/>
    <w:rsid w:val="251C2A66"/>
    <w:rsid w:val="251E0D25"/>
    <w:rsid w:val="251E7C27"/>
    <w:rsid w:val="2528A307"/>
    <w:rsid w:val="253217F2"/>
    <w:rsid w:val="2535247F"/>
    <w:rsid w:val="25384062"/>
    <w:rsid w:val="2547E94C"/>
    <w:rsid w:val="2549BB86"/>
    <w:rsid w:val="2552578C"/>
    <w:rsid w:val="25578773"/>
    <w:rsid w:val="2557E17D"/>
    <w:rsid w:val="25598845"/>
    <w:rsid w:val="25598EBD"/>
    <w:rsid w:val="25695FF8"/>
    <w:rsid w:val="256E0176"/>
    <w:rsid w:val="25721303"/>
    <w:rsid w:val="25963417"/>
    <w:rsid w:val="2597CCC9"/>
    <w:rsid w:val="25A9CA1F"/>
    <w:rsid w:val="25BA86F0"/>
    <w:rsid w:val="25BC8CCC"/>
    <w:rsid w:val="25CCCF3D"/>
    <w:rsid w:val="25E0A3A9"/>
    <w:rsid w:val="25F3A3F6"/>
    <w:rsid w:val="25F6E5CF"/>
    <w:rsid w:val="2603638C"/>
    <w:rsid w:val="260789BA"/>
    <w:rsid w:val="260989B1"/>
    <w:rsid w:val="260D3474"/>
    <w:rsid w:val="26183A9B"/>
    <w:rsid w:val="261A5BC1"/>
    <w:rsid w:val="261E44B9"/>
    <w:rsid w:val="2641E98F"/>
    <w:rsid w:val="26435F11"/>
    <w:rsid w:val="2644262A"/>
    <w:rsid w:val="2644C085"/>
    <w:rsid w:val="26532EF0"/>
    <w:rsid w:val="26559917"/>
    <w:rsid w:val="266FA614"/>
    <w:rsid w:val="26885F20"/>
    <w:rsid w:val="26890430"/>
    <w:rsid w:val="268EF997"/>
    <w:rsid w:val="26933C55"/>
    <w:rsid w:val="2693CA2B"/>
    <w:rsid w:val="269B1D55"/>
    <w:rsid w:val="269D2182"/>
    <w:rsid w:val="269FACA6"/>
    <w:rsid w:val="26A87DA6"/>
    <w:rsid w:val="26CAB3A9"/>
    <w:rsid w:val="26CBE6FE"/>
    <w:rsid w:val="26CE44E3"/>
    <w:rsid w:val="26D410C3"/>
    <w:rsid w:val="26D9ABE1"/>
    <w:rsid w:val="26E430FA"/>
    <w:rsid w:val="26F5EB54"/>
    <w:rsid w:val="26F70AE2"/>
    <w:rsid w:val="26FB8D29"/>
    <w:rsid w:val="2716F6D7"/>
    <w:rsid w:val="271AB1E7"/>
    <w:rsid w:val="271C3EBA"/>
    <w:rsid w:val="271EC2C9"/>
    <w:rsid w:val="271FA26F"/>
    <w:rsid w:val="2722AF31"/>
    <w:rsid w:val="27270E29"/>
    <w:rsid w:val="272AE1F8"/>
    <w:rsid w:val="2731D452"/>
    <w:rsid w:val="27332A80"/>
    <w:rsid w:val="2735E0B2"/>
    <w:rsid w:val="273F76AB"/>
    <w:rsid w:val="274B2820"/>
    <w:rsid w:val="2759F619"/>
    <w:rsid w:val="276C152E"/>
    <w:rsid w:val="2774B174"/>
    <w:rsid w:val="2777C2A4"/>
    <w:rsid w:val="2787F3D1"/>
    <w:rsid w:val="278C7CB3"/>
    <w:rsid w:val="278E37A1"/>
    <w:rsid w:val="279088A8"/>
    <w:rsid w:val="2792762C"/>
    <w:rsid w:val="2795E5A1"/>
    <w:rsid w:val="279F625B"/>
    <w:rsid w:val="27A27E49"/>
    <w:rsid w:val="27AD4D4D"/>
    <w:rsid w:val="27B27D89"/>
    <w:rsid w:val="27B62AD7"/>
    <w:rsid w:val="27B97BAD"/>
    <w:rsid w:val="27C7CCF9"/>
    <w:rsid w:val="27C849AA"/>
    <w:rsid w:val="27D232F0"/>
    <w:rsid w:val="27DC0813"/>
    <w:rsid w:val="27E7C393"/>
    <w:rsid w:val="27E7D3F1"/>
    <w:rsid w:val="27F27CF2"/>
    <w:rsid w:val="27F86645"/>
    <w:rsid w:val="27FD21B7"/>
    <w:rsid w:val="280DFF30"/>
    <w:rsid w:val="282B7987"/>
    <w:rsid w:val="28353B5E"/>
    <w:rsid w:val="2838284A"/>
    <w:rsid w:val="284DF622"/>
    <w:rsid w:val="284EC614"/>
    <w:rsid w:val="28530692"/>
    <w:rsid w:val="28543F81"/>
    <w:rsid w:val="28619625"/>
    <w:rsid w:val="28679F25"/>
    <w:rsid w:val="286BCF4F"/>
    <w:rsid w:val="286D86CD"/>
    <w:rsid w:val="286FE124"/>
    <w:rsid w:val="2870BC8D"/>
    <w:rsid w:val="2872902A"/>
    <w:rsid w:val="2872D4B5"/>
    <w:rsid w:val="28732EDD"/>
    <w:rsid w:val="287995DD"/>
    <w:rsid w:val="287A9376"/>
    <w:rsid w:val="287F8F22"/>
    <w:rsid w:val="288FDB53"/>
    <w:rsid w:val="289287F5"/>
    <w:rsid w:val="2895DDAA"/>
    <w:rsid w:val="289ECC76"/>
    <w:rsid w:val="28A200F6"/>
    <w:rsid w:val="28A8087C"/>
    <w:rsid w:val="28A9B3C5"/>
    <w:rsid w:val="28AF4C05"/>
    <w:rsid w:val="28B05601"/>
    <w:rsid w:val="28BD34D8"/>
    <w:rsid w:val="28C6C4D4"/>
    <w:rsid w:val="28CFCB06"/>
    <w:rsid w:val="28D1F4A4"/>
    <w:rsid w:val="28DE97E9"/>
    <w:rsid w:val="28E1639C"/>
    <w:rsid w:val="28EBF9A9"/>
    <w:rsid w:val="28F02298"/>
    <w:rsid w:val="28F7FC54"/>
    <w:rsid w:val="28F8FDE2"/>
    <w:rsid w:val="2900D90F"/>
    <w:rsid w:val="290D67FD"/>
    <w:rsid w:val="2917123D"/>
    <w:rsid w:val="2919BEDF"/>
    <w:rsid w:val="2928C7A6"/>
    <w:rsid w:val="29412A73"/>
    <w:rsid w:val="29451E03"/>
    <w:rsid w:val="294B06EC"/>
    <w:rsid w:val="294EDBFB"/>
    <w:rsid w:val="2968141D"/>
    <w:rsid w:val="29807C6E"/>
    <w:rsid w:val="2989622A"/>
    <w:rsid w:val="29950818"/>
    <w:rsid w:val="299BD31B"/>
    <w:rsid w:val="29A3ABC2"/>
    <w:rsid w:val="29A91FCA"/>
    <w:rsid w:val="29AB4F40"/>
    <w:rsid w:val="29B2E970"/>
    <w:rsid w:val="29B731C0"/>
    <w:rsid w:val="29C2C1F7"/>
    <w:rsid w:val="29D6950C"/>
    <w:rsid w:val="29D995D4"/>
    <w:rsid w:val="29E06292"/>
    <w:rsid w:val="29E2512E"/>
    <w:rsid w:val="29E59BA2"/>
    <w:rsid w:val="29E699DA"/>
    <w:rsid w:val="29EBA64E"/>
    <w:rsid w:val="29F0A159"/>
    <w:rsid w:val="29F33C93"/>
    <w:rsid w:val="29FB6317"/>
    <w:rsid w:val="2A026A21"/>
    <w:rsid w:val="2A03AD21"/>
    <w:rsid w:val="2A0D0A35"/>
    <w:rsid w:val="2A1D7223"/>
    <w:rsid w:val="2A25C8AF"/>
    <w:rsid w:val="2A27D598"/>
    <w:rsid w:val="2A2EABA4"/>
    <w:rsid w:val="2A2F6E8B"/>
    <w:rsid w:val="2A3752C2"/>
    <w:rsid w:val="2A38BEE1"/>
    <w:rsid w:val="2A3A89B2"/>
    <w:rsid w:val="2A3A9CD7"/>
    <w:rsid w:val="2A440B6F"/>
    <w:rsid w:val="2A528B0D"/>
    <w:rsid w:val="2A52B08C"/>
    <w:rsid w:val="2A55F242"/>
    <w:rsid w:val="2A5CF5CE"/>
    <w:rsid w:val="2A6017AB"/>
    <w:rsid w:val="2A60B38F"/>
    <w:rsid w:val="2A6927EC"/>
    <w:rsid w:val="2A77A7EB"/>
    <w:rsid w:val="2A7D27FC"/>
    <w:rsid w:val="2A813A61"/>
    <w:rsid w:val="2A81FD20"/>
    <w:rsid w:val="2A93CCB5"/>
    <w:rsid w:val="2A98B2AB"/>
    <w:rsid w:val="2AB60FFC"/>
    <w:rsid w:val="2AB63D36"/>
    <w:rsid w:val="2ABCE12C"/>
    <w:rsid w:val="2AC1E594"/>
    <w:rsid w:val="2AC5135F"/>
    <w:rsid w:val="2AC66CD1"/>
    <w:rsid w:val="2AD02976"/>
    <w:rsid w:val="2AD10929"/>
    <w:rsid w:val="2AD6D4F2"/>
    <w:rsid w:val="2AEA0A0E"/>
    <w:rsid w:val="2AEA1E4B"/>
    <w:rsid w:val="2AF09564"/>
    <w:rsid w:val="2AF112E5"/>
    <w:rsid w:val="2AF9573F"/>
    <w:rsid w:val="2AFD9F8C"/>
    <w:rsid w:val="2B06C0C8"/>
    <w:rsid w:val="2B15CD39"/>
    <w:rsid w:val="2B18D580"/>
    <w:rsid w:val="2B19DE66"/>
    <w:rsid w:val="2B1E3F8D"/>
    <w:rsid w:val="2B210DD4"/>
    <w:rsid w:val="2B2A0691"/>
    <w:rsid w:val="2B33D685"/>
    <w:rsid w:val="2B39384B"/>
    <w:rsid w:val="2B3BA6BB"/>
    <w:rsid w:val="2B4D9098"/>
    <w:rsid w:val="2B51ED3B"/>
    <w:rsid w:val="2B63EE1F"/>
    <w:rsid w:val="2B656AAA"/>
    <w:rsid w:val="2B679E1D"/>
    <w:rsid w:val="2B6DE9F1"/>
    <w:rsid w:val="2B708800"/>
    <w:rsid w:val="2B80E73D"/>
    <w:rsid w:val="2B8CF7E1"/>
    <w:rsid w:val="2B8F613B"/>
    <w:rsid w:val="2BA33183"/>
    <w:rsid w:val="2BADCCB8"/>
    <w:rsid w:val="2BB05154"/>
    <w:rsid w:val="2BBE1DD7"/>
    <w:rsid w:val="2BD274BD"/>
    <w:rsid w:val="2BD77564"/>
    <w:rsid w:val="2BE0598C"/>
    <w:rsid w:val="2BEE338C"/>
    <w:rsid w:val="2BEEBED7"/>
    <w:rsid w:val="2BFACA11"/>
    <w:rsid w:val="2BFCCA7B"/>
    <w:rsid w:val="2C0A77D3"/>
    <w:rsid w:val="2C0CEA90"/>
    <w:rsid w:val="2C0EC041"/>
    <w:rsid w:val="2C141FE4"/>
    <w:rsid w:val="2C15683A"/>
    <w:rsid w:val="2C1AA159"/>
    <w:rsid w:val="2C224AFF"/>
    <w:rsid w:val="2C254A28"/>
    <w:rsid w:val="2C268A6C"/>
    <w:rsid w:val="2C270E7B"/>
    <w:rsid w:val="2C317F9E"/>
    <w:rsid w:val="2C36E124"/>
    <w:rsid w:val="2C4D3453"/>
    <w:rsid w:val="2C4D7D3C"/>
    <w:rsid w:val="2C4E1FC0"/>
    <w:rsid w:val="2C4FC887"/>
    <w:rsid w:val="2C515DB3"/>
    <w:rsid w:val="2C5BCF28"/>
    <w:rsid w:val="2C745277"/>
    <w:rsid w:val="2C7A05B7"/>
    <w:rsid w:val="2C7EC0D7"/>
    <w:rsid w:val="2C803322"/>
    <w:rsid w:val="2C803F6B"/>
    <w:rsid w:val="2C824175"/>
    <w:rsid w:val="2C85E6D3"/>
    <w:rsid w:val="2C8898A7"/>
    <w:rsid w:val="2C97072B"/>
    <w:rsid w:val="2C99C1F6"/>
    <w:rsid w:val="2CA7A8D4"/>
    <w:rsid w:val="2CAAC11C"/>
    <w:rsid w:val="2CB08D58"/>
    <w:rsid w:val="2CC0F95C"/>
    <w:rsid w:val="2CE4F257"/>
    <w:rsid w:val="2CE5F3B8"/>
    <w:rsid w:val="2CEAA657"/>
    <w:rsid w:val="2CEAC9A2"/>
    <w:rsid w:val="2CF0A238"/>
    <w:rsid w:val="2CF3CAAB"/>
    <w:rsid w:val="2CF9F1E5"/>
    <w:rsid w:val="2CFC189F"/>
    <w:rsid w:val="2D08D6E6"/>
    <w:rsid w:val="2D0EC0E3"/>
    <w:rsid w:val="2D10DE81"/>
    <w:rsid w:val="2D13FB57"/>
    <w:rsid w:val="2D16AC13"/>
    <w:rsid w:val="2D19D88D"/>
    <w:rsid w:val="2D1A11BD"/>
    <w:rsid w:val="2D1AB5DD"/>
    <w:rsid w:val="2D1AE2FD"/>
    <w:rsid w:val="2D1CB851"/>
    <w:rsid w:val="2D1F8883"/>
    <w:rsid w:val="2D416C98"/>
    <w:rsid w:val="2D474E8E"/>
    <w:rsid w:val="2D4BC343"/>
    <w:rsid w:val="2D56A60B"/>
    <w:rsid w:val="2D5D04E4"/>
    <w:rsid w:val="2D618B6C"/>
    <w:rsid w:val="2D628328"/>
    <w:rsid w:val="2D69F44D"/>
    <w:rsid w:val="2D6CCB75"/>
    <w:rsid w:val="2D79FF0C"/>
    <w:rsid w:val="2D8C2464"/>
    <w:rsid w:val="2D8FA73B"/>
    <w:rsid w:val="2D9F2AFB"/>
    <w:rsid w:val="2DA57D8C"/>
    <w:rsid w:val="2DACD9E9"/>
    <w:rsid w:val="2DAD3A35"/>
    <w:rsid w:val="2DB835BF"/>
    <w:rsid w:val="2DB9FF39"/>
    <w:rsid w:val="2DBC2B63"/>
    <w:rsid w:val="2DC292FC"/>
    <w:rsid w:val="2DC4BA74"/>
    <w:rsid w:val="2DD01C9E"/>
    <w:rsid w:val="2DD7373F"/>
    <w:rsid w:val="2DE22D5C"/>
    <w:rsid w:val="2DE294DF"/>
    <w:rsid w:val="2DEB7623"/>
    <w:rsid w:val="2DF8999E"/>
    <w:rsid w:val="2DFE209E"/>
    <w:rsid w:val="2DFE80BE"/>
    <w:rsid w:val="2E0BD79E"/>
    <w:rsid w:val="2E170462"/>
    <w:rsid w:val="2E1A01FA"/>
    <w:rsid w:val="2E2319B6"/>
    <w:rsid w:val="2E26DD40"/>
    <w:rsid w:val="2E2A8493"/>
    <w:rsid w:val="2E2D3576"/>
    <w:rsid w:val="2E2EBDBC"/>
    <w:rsid w:val="2E397AB5"/>
    <w:rsid w:val="2E469566"/>
    <w:rsid w:val="2E484F45"/>
    <w:rsid w:val="2E4AE248"/>
    <w:rsid w:val="2E532A50"/>
    <w:rsid w:val="2E57849F"/>
    <w:rsid w:val="2E74A15A"/>
    <w:rsid w:val="2E8357B5"/>
    <w:rsid w:val="2E83CC94"/>
    <w:rsid w:val="2E91B19B"/>
    <w:rsid w:val="2E921615"/>
    <w:rsid w:val="2E95F05E"/>
    <w:rsid w:val="2E99A84E"/>
    <w:rsid w:val="2E9C2DDC"/>
    <w:rsid w:val="2EB08FE1"/>
    <w:rsid w:val="2EC701FD"/>
    <w:rsid w:val="2EC79258"/>
    <w:rsid w:val="2ED2E681"/>
    <w:rsid w:val="2EE4CD46"/>
    <w:rsid w:val="2EE793A4"/>
    <w:rsid w:val="2EE7D305"/>
    <w:rsid w:val="2EF1683D"/>
    <w:rsid w:val="2EF4DF1B"/>
    <w:rsid w:val="2EFC4FFE"/>
    <w:rsid w:val="2F021CC7"/>
    <w:rsid w:val="2F0FE981"/>
    <w:rsid w:val="2F1077C4"/>
    <w:rsid w:val="2F1AE63E"/>
    <w:rsid w:val="2F2A0005"/>
    <w:rsid w:val="2F3695ED"/>
    <w:rsid w:val="2F38E1FD"/>
    <w:rsid w:val="2F3AE1E0"/>
    <w:rsid w:val="2F3E8373"/>
    <w:rsid w:val="2F49A342"/>
    <w:rsid w:val="2F4CFACD"/>
    <w:rsid w:val="2F4F6A0F"/>
    <w:rsid w:val="2F5150D2"/>
    <w:rsid w:val="2F72AB1A"/>
    <w:rsid w:val="2F75BFCA"/>
    <w:rsid w:val="2F7640AA"/>
    <w:rsid w:val="2F7BA526"/>
    <w:rsid w:val="2F873DEE"/>
    <w:rsid w:val="2F8CDAB4"/>
    <w:rsid w:val="2F90EA72"/>
    <w:rsid w:val="2FA6D7D5"/>
    <w:rsid w:val="2FB85709"/>
    <w:rsid w:val="2FBF898A"/>
    <w:rsid w:val="2FC725FE"/>
    <w:rsid w:val="2FCBDF1C"/>
    <w:rsid w:val="2FCFC1F5"/>
    <w:rsid w:val="2FE13035"/>
    <w:rsid w:val="2FE40035"/>
    <w:rsid w:val="2FE6CA9A"/>
    <w:rsid w:val="2FF0C394"/>
    <w:rsid w:val="2FF2EBF3"/>
    <w:rsid w:val="2FF46980"/>
    <w:rsid w:val="3003135B"/>
    <w:rsid w:val="30154008"/>
    <w:rsid w:val="30172902"/>
    <w:rsid w:val="3021009B"/>
    <w:rsid w:val="30223E64"/>
    <w:rsid w:val="3024A1FC"/>
    <w:rsid w:val="3025B92C"/>
    <w:rsid w:val="302685A8"/>
    <w:rsid w:val="304627F8"/>
    <w:rsid w:val="3048822D"/>
    <w:rsid w:val="304E8291"/>
    <w:rsid w:val="3051F196"/>
    <w:rsid w:val="305BB329"/>
    <w:rsid w:val="3063CAE6"/>
    <w:rsid w:val="30667DC8"/>
    <w:rsid w:val="306A401A"/>
    <w:rsid w:val="30716C87"/>
    <w:rsid w:val="30781C5A"/>
    <w:rsid w:val="307DE69A"/>
    <w:rsid w:val="3082032B"/>
    <w:rsid w:val="308D8299"/>
    <w:rsid w:val="3090128B"/>
    <w:rsid w:val="30912DAD"/>
    <w:rsid w:val="30938B89"/>
    <w:rsid w:val="3093A38A"/>
    <w:rsid w:val="3097215C"/>
    <w:rsid w:val="309AD3E8"/>
    <w:rsid w:val="30A09621"/>
    <w:rsid w:val="30A0E6E3"/>
    <w:rsid w:val="30A85D8A"/>
    <w:rsid w:val="30A98F75"/>
    <w:rsid w:val="30AE0B63"/>
    <w:rsid w:val="30BAF1F4"/>
    <w:rsid w:val="30C14AD7"/>
    <w:rsid w:val="30C5A50F"/>
    <w:rsid w:val="30CC3752"/>
    <w:rsid w:val="30E75580"/>
    <w:rsid w:val="30E8D95D"/>
    <w:rsid w:val="30F699E8"/>
    <w:rsid w:val="30FC7700"/>
    <w:rsid w:val="30FF298E"/>
    <w:rsid w:val="3108A877"/>
    <w:rsid w:val="3112F774"/>
    <w:rsid w:val="3114FA44"/>
    <w:rsid w:val="3115CADE"/>
    <w:rsid w:val="311A7623"/>
    <w:rsid w:val="3129A16E"/>
    <w:rsid w:val="312BDDAD"/>
    <w:rsid w:val="312EA05D"/>
    <w:rsid w:val="312F6723"/>
    <w:rsid w:val="3136E224"/>
    <w:rsid w:val="313E410C"/>
    <w:rsid w:val="314AB27A"/>
    <w:rsid w:val="314AE82C"/>
    <w:rsid w:val="314D94CE"/>
    <w:rsid w:val="315231FA"/>
    <w:rsid w:val="3155B298"/>
    <w:rsid w:val="3156289D"/>
    <w:rsid w:val="316FA5D5"/>
    <w:rsid w:val="31734429"/>
    <w:rsid w:val="31758AAD"/>
    <w:rsid w:val="31777B25"/>
    <w:rsid w:val="31790F9F"/>
    <w:rsid w:val="3179E329"/>
    <w:rsid w:val="317CFFDA"/>
    <w:rsid w:val="317FC7A6"/>
    <w:rsid w:val="31827CB8"/>
    <w:rsid w:val="3182B11B"/>
    <w:rsid w:val="31848B55"/>
    <w:rsid w:val="318C5981"/>
    <w:rsid w:val="3192F5A6"/>
    <w:rsid w:val="3198EC9D"/>
    <w:rsid w:val="319FC842"/>
    <w:rsid w:val="31A7B57F"/>
    <w:rsid w:val="31ADFB46"/>
    <w:rsid w:val="31AEC0C7"/>
    <w:rsid w:val="31B3BF91"/>
    <w:rsid w:val="31B46447"/>
    <w:rsid w:val="31BAD849"/>
    <w:rsid w:val="31BDDEEC"/>
    <w:rsid w:val="31C7A0D3"/>
    <w:rsid w:val="31C8BD68"/>
    <w:rsid w:val="31E5261B"/>
    <w:rsid w:val="31EC932C"/>
    <w:rsid w:val="31ED5B03"/>
    <w:rsid w:val="31EDFDB2"/>
    <w:rsid w:val="31EFCD4B"/>
    <w:rsid w:val="320695FD"/>
    <w:rsid w:val="321205BE"/>
    <w:rsid w:val="3218A444"/>
    <w:rsid w:val="3221166B"/>
    <w:rsid w:val="322F5BEA"/>
    <w:rsid w:val="323464ED"/>
    <w:rsid w:val="325CAC5B"/>
    <w:rsid w:val="3271E4B6"/>
    <w:rsid w:val="32762435"/>
    <w:rsid w:val="328976BB"/>
    <w:rsid w:val="328CB5D1"/>
    <w:rsid w:val="328F7E0C"/>
    <w:rsid w:val="328FD5A9"/>
    <w:rsid w:val="32982B97"/>
    <w:rsid w:val="32A208F2"/>
    <w:rsid w:val="32ADEF6C"/>
    <w:rsid w:val="32B0716B"/>
    <w:rsid w:val="32B1D419"/>
    <w:rsid w:val="32B3113B"/>
    <w:rsid w:val="32B4E251"/>
    <w:rsid w:val="32B63E07"/>
    <w:rsid w:val="32CE2D06"/>
    <w:rsid w:val="32DD5269"/>
    <w:rsid w:val="32E12606"/>
    <w:rsid w:val="32E79792"/>
    <w:rsid w:val="32E9B87D"/>
    <w:rsid w:val="32F22EBD"/>
    <w:rsid w:val="32F265B2"/>
    <w:rsid w:val="32F33601"/>
    <w:rsid w:val="32FEA6A9"/>
    <w:rsid w:val="3300AD1B"/>
    <w:rsid w:val="330B752A"/>
    <w:rsid w:val="33115780"/>
    <w:rsid w:val="331AA694"/>
    <w:rsid w:val="33209CC3"/>
    <w:rsid w:val="33302278"/>
    <w:rsid w:val="33303AE0"/>
    <w:rsid w:val="33391BD9"/>
    <w:rsid w:val="334A7D7A"/>
    <w:rsid w:val="33509E6B"/>
    <w:rsid w:val="3350F08D"/>
    <w:rsid w:val="335955CF"/>
    <w:rsid w:val="3359C477"/>
    <w:rsid w:val="33650751"/>
    <w:rsid w:val="3365B579"/>
    <w:rsid w:val="337145DD"/>
    <w:rsid w:val="3374C674"/>
    <w:rsid w:val="3376DE98"/>
    <w:rsid w:val="338919BF"/>
    <w:rsid w:val="338F9044"/>
    <w:rsid w:val="339A3D68"/>
    <w:rsid w:val="33A49AD7"/>
    <w:rsid w:val="33B3CCD3"/>
    <w:rsid w:val="33B795FF"/>
    <w:rsid w:val="33BAD053"/>
    <w:rsid w:val="33BD880F"/>
    <w:rsid w:val="33CCAEEE"/>
    <w:rsid w:val="33D0787B"/>
    <w:rsid w:val="33DDA46A"/>
    <w:rsid w:val="33E911A4"/>
    <w:rsid w:val="33F8C984"/>
    <w:rsid w:val="33F92D1C"/>
    <w:rsid w:val="33FDD48F"/>
    <w:rsid w:val="34127DAD"/>
    <w:rsid w:val="34246DC6"/>
    <w:rsid w:val="34294B97"/>
    <w:rsid w:val="34400948"/>
    <w:rsid w:val="344C59F3"/>
    <w:rsid w:val="345A58BC"/>
    <w:rsid w:val="346367D7"/>
    <w:rsid w:val="3469FD67"/>
    <w:rsid w:val="346B83E8"/>
    <w:rsid w:val="3481F5AF"/>
    <w:rsid w:val="34835CF0"/>
    <w:rsid w:val="3489D2BC"/>
    <w:rsid w:val="348A1C84"/>
    <w:rsid w:val="3490C0F5"/>
    <w:rsid w:val="34934581"/>
    <w:rsid w:val="34945F76"/>
    <w:rsid w:val="349B6535"/>
    <w:rsid w:val="349B8F3C"/>
    <w:rsid w:val="34A1DB0E"/>
    <w:rsid w:val="34A28DAA"/>
    <w:rsid w:val="34A3BD4A"/>
    <w:rsid w:val="34A5259A"/>
    <w:rsid w:val="34A73419"/>
    <w:rsid w:val="34C1DC09"/>
    <w:rsid w:val="34C438F4"/>
    <w:rsid w:val="34CA28D0"/>
    <w:rsid w:val="34D92996"/>
    <w:rsid w:val="34DE6848"/>
    <w:rsid w:val="34ECC0EE"/>
    <w:rsid w:val="34EEEC73"/>
    <w:rsid w:val="34F0D979"/>
    <w:rsid w:val="34F8131F"/>
    <w:rsid w:val="34FB3C25"/>
    <w:rsid w:val="34FB9965"/>
    <w:rsid w:val="3505B789"/>
    <w:rsid w:val="3510C19D"/>
    <w:rsid w:val="35205A1E"/>
    <w:rsid w:val="352C601D"/>
    <w:rsid w:val="352E7264"/>
    <w:rsid w:val="353283E2"/>
    <w:rsid w:val="3533CC3B"/>
    <w:rsid w:val="35348A25"/>
    <w:rsid w:val="353BDB1E"/>
    <w:rsid w:val="354983AC"/>
    <w:rsid w:val="35533B2F"/>
    <w:rsid w:val="355FA00F"/>
    <w:rsid w:val="3569193C"/>
    <w:rsid w:val="35717A2B"/>
    <w:rsid w:val="35791510"/>
    <w:rsid w:val="357CB305"/>
    <w:rsid w:val="3580972C"/>
    <w:rsid w:val="3584F7FB"/>
    <w:rsid w:val="358E2E19"/>
    <w:rsid w:val="359513D6"/>
    <w:rsid w:val="359CDA8A"/>
    <w:rsid w:val="35A95790"/>
    <w:rsid w:val="35B07ADC"/>
    <w:rsid w:val="35BBF639"/>
    <w:rsid w:val="35C822EA"/>
    <w:rsid w:val="35DA215C"/>
    <w:rsid w:val="35DCDE31"/>
    <w:rsid w:val="35DD3DF2"/>
    <w:rsid w:val="35DF8814"/>
    <w:rsid w:val="35E92C32"/>
    <w:rsid w:val="35EA8646"/>
    <w:rsid w:val="35EB7BAF"/>
    <w:rsid w:val="35EFD3E9"/>
    <w:rsid w:val="35F40A47"/>
    <w:rsid w:val="35F836B0"/>
    <w:rsid w:val="35FFBE38"/>
    <w:rsid w:val="3601A146"/>
    <w:rsid w:val="3606851E"/>
    <w:rsid w:val="360A0B5D"/>
    <w:rsid w:val="360CDC62"/>
    <w:rsid w:val="3618E82B"/>
    <w:rsid w:val="361AD499"/>
    <w:rsid w:val="362AEB51"/>
    <w:rsid w:val="364025C9"/>
    <w:rsid w:val="366314E5"/>
    <w:rsid w:val="3664CFC8"/>
    <w:rsid w:val="3675C49D"/>
    <w:rsid w:val="367B3669"/>
    <w:rsid w:val="367E40C4"/>
    <w:rsid w:val="36806F52"/>
    <w:rsid w:val="36858690"/>
    <w:rsid w:val="3688B1A7"/>
    <w:rsid w:val="368F25D8"/>
    <w:rsid w:val="36AE525E"/>
    <w:rsid w:val="36BB15BA"/>
    <w:rsid w:val="36C40EAD"/>
    <w:rsid w:val="36D820D7"/>
    <w:rsid w:val="36DD6263"/>
    <w:rsid w:val="36EE4235"/>
    <w:rsid w:val="36F076B2"/>
    <w:rsid w:val="3703999B"/>
    <w:rsid w:val="3706C978"/>
    <w:rsid w:val="370E3541"/>
    <w:rsid w:val="371D6124"/>
    <w:rsid w:val="371F4BFD"/>
    <w:rsid w:val="37265B2F"/>
    <w:rsid w:val="372B2694"/>
    <w:rsid w:val="372FAD95"/>
    <w:rsid w:val="3731F2C3"/>
    <w:rsid w:val="37384F8D"/>
    <w:rsid w:val="373C62D0"/>
    <w:rsid w:val="3744A6D2"/>
    <w:rsid w:val="374B3291"/>
    <w:rsid w:val="374CD858"/>
    <w:rsid w:val="3756A0B5"/>
    <w:rsid w:val="37579D1D"/>
    <w:rsid w:val="37686F0E"/>
    <w:rsid w:val="3772953C"/>
    <w:rsid w:val="37792776"/>
    <w:rsid w:val="37825086"/>
    <w:rsid w:val="3782E65B"/>
    <w:rsid w:val="3784888B"/>
    <w:rsid w:val="3787BE12"/>
    <w:rsid w:val="3789EF77"/>
    <w:rsid w:val="37988539"/>
    <w:rsid w:val="37998030"/>
    <w:rsid w:val="379E13B7"/>
    <w:rsid w:val="37A19E29"/>
    <w:rsid w:val="37A395E8"/>
    <w:rsid w:val="37AECCDA"/>
    <w:rsid w:val="37BF5B2D"/>
    <w:rsid w:val="37C74C84"/>
    <w:rsid w:val="37D4B495"/>
    <w:rsid w:val="37D8A815"/>
    <w:rsid w:val="37DEE64D"/>
    <w:rsid w:val="37E0C8D2"/>
    <w:rsid w:val="37FCF701"/>
    <w:rsid w:val="3800E1AF"/>
    <w:rsid w:val="38031161"/>
    <w:rsid w:val="3819D03A"/>
    <w:rsid w:val="381A0EAF"/>
    <w:rsid w:val="381F9BE0"/>
    <w:rsid w:val="3846E050"/>
    <w:rsid w:val="384AF18F"/>
    <w:rsid w:val="38546E4E"/>
    <w:rsid w:val="3855C5DD"/>
    <w:rsid w:val="3862A381"/>
    <w:rsid w:val="3862F733"/>
    <w:rsid w:val="388D228E"/>
    <w:rsid w:val="388F734B"/>
    <w:rsid w:val="3891686B"/>
    <w:rsid w:val="38980AB1"/>
    <w:rsid w:val="38A43E13"/>
    <w:rsid w:val="38A88C6A"/>
    <w:rsid w:val="38AB6D21"/>
    <w:rsid w:val="38AD39E4"/>
    <w:rsid w:val="38AE4DDC"/>
    <w:rsid w:val="38B375E2"/>
    <w:rsid w:val="38B95C3F"/>
    <w:rsid w:val="38BA3045"/>
    <w:rsid w:val="38BC8754"/>
    <w:rsid w:val="38D21565"/>
    <w:rsid w:val="38D259E2"/>
    <w:rsid w:val="38D340A5"/>
    <w:rsid w:val="38D74825"/>
    <w:rsid w:val="38DC06C0"/>
    <w:rsid w:val="38E43DD6"/>
    <w:rsid w:val="38EED1E4"/>
    <w:rsid w:val="38F26AC0"/>
    <w:rsid w:val="38F77AE3"/>
    <w:rsid w:val="390340F5"/>
    <w:rsid w:val="3905B53E"/>
    <w:rsid w:val="3908CEB5"/>
    <w:rsid w:val="3916E07E"/>
    <w:rsid w:val="3918F1A1"/>
    <w:rsid w:val="39222708"/>
    <w:rsid w:val="39263E6B"/>
    <w:rsid w:val="39292C3B"/>
    <w:rsid w:val="392E634F"/>
    <w:rsid w:val="393D3533"/>
    <w:rsid w:val="39441B82"/>
    <w:rsid w:val="394BC2D7"/>
    <w:rsid w:val="3956F0DB"/>
    <w:rsid w:val="39594675"/>
    <w:rsid w:val="396B7E01"/>
    <w:rsid w:val="396B8B4C"/>
    <w:rsid w:val="396D9E47"/>
    <w:rsid w:val="396FD283"/>
    <w:rsid w:val="397084F6"/>
    <w:rsid w:val="3971C37D"/>
    <w:rsid w:val="3971DB17"/>
    <w:rsid w:val="397256FA"/>
    <w:rsid w:val="3975E065"/>
    <w:rsid w:val="397B4F32"/>
    <w:rsid w:val="398B53AB"/>
    <w:rsid w:val="3995CB95"/>
    <w:rsid w:val="399DCB1C"/>
    <w:rsid w:val="399FA85B"/>
    <w:rsid w:val="39A20710"/>
    <w:rsid w:val="39AD0DCA"/>
    <w:rsid w:val="39AD655F"/>
    <w:rsid w:val="39B5DF10"/>
    <w:rsid w:val="39BF60E0"/>
    <w:rsid w:val="39CB3786"/>
    <w:rsid w:val="39D6BA1B"/>
    <w:rsid w:val="39D94BF7"/>
    <w:rsid w:val="39F03800"/>
    <w:rsid w:val="39F6865C"/>
    <w:rsid w:val="3A00824B"/>
    <w:rsid w:val="3A073D5E"/>
    <w:rsid w:val="3A088F05"/>
    <w:rsid w:val="3A0E143E"/>
    <w:rsid w:val="3A11D608"/>
    <w:rsid w:val="3A197239"/>
    <w:rsid w:val="3A217B6A"/>
    <w:rsid w:val="3A23C2D2"/>
    <w:rsid w:val="3A23C52D"/>
    <w:rsid w:val="3A241E73"/>
    <w:rsid w:val="3A2AE128"/>
    <w:rsid w:val="3A3421D9"/>
    <w:rsid w:val="3A347F63"/>
    <w:rsid w:val="3A3E3FD2"/>
    <w:rsid w:val="3A3F76D2"/>
    <w:rsid w:val="3A448012"/>
    <w:rsid w:val="3A48DBC1"/>
    <w:rsid w:val="3A4EF5D9"/>
    <w:rsid w:val="3A563D93"/>
    <w:rsid w:val="3A565953"/>
    <w:rsid w:val="3A570C9F"/>
    <w:rsid w:val="3A58CB2C"/>
    <w:rsid w:val="3A5D51C4"/>
    <w:rsid w:val="3A7195C2"/>
    <w:rsid w:val="3A75E522"/>
    <w:rsid w:val="3A855767"/>
    <w:rsid w:val="3A872C01"/>
    <w:rsid w:val="3A8E9151"/>
    <w:rsid w:val="3A8E915B"/>
    <w:rsid w:val="3A97176A"/>
    <w:rsid w:val="3A9C8094"/>
    <w:rsid w:val="3A9F1156"/>
    <w:rsid w:val="3AA33D7C"/>
    <w:rsid w:val="3AB2B0DF"/>
    <w:rsid w:val="3AB31235"/>
    <w:rsid w:val="3AB5F867"/>
    <w:rsid w:val="3ABF414F"/>
    <w:rsid w:val="3AC68D73"/>
    <w:rsid w:val="3ACBA5CA"/>
    <w:rsid w:val="3ACE592E"/>
    <w:rsid w:val="3AD0E6B3"/>
    <w:rsid w:val="3AD20976"/>
    <w:rsid w:val="3ADAF27C"/>
    <w:rsid w:val="3AE7057B"/>
    <w:rsid w:val="3AEC2FDB"/>
    <w:rsid w:val="3AED991C"/>
    <w:rsid w:val="3AEDA2C8"/>
    <w:rsid w:val="3AF19DB6"/>
    <w:rsid w:val="3AF84F70"/>
    <w:rsid w:val="3AFA9953"/>
    <w:rsid w:val="3B00A1FD"/>
    <w:rsid w:val="3B02979C"/>
    <w:rsid w:val="3B0B84D1"/>
    <w:rsid w:val="3B16870F"/>
    <w:rsid w:val="3B17C689"/>
    <w:rsid w:val="3B1C4536"/>
    <w:rsid w:val="3B20F02D"/>
    <w:rsid w:val="3B225B31"/>
    <w:rsid w:val="3B2D67FD"/>
    <w:rsid w:val="3B33E6F4"/>
    <w:rsid w:val="3B33F604"/>
    <w:rsid w:val="3B47470E"/>
    <w:rsid w:val="3B4BC4ED"/>
    <w:rsid w:val="3B4DB42E"/>
    <w:rsid w:val="3B557035"/>
    <w:rsid w:val="3B559FED"/>
    <w:rsid w:val="3B57FD43"/>
    <w:rsid w:val="3B5BE78B"/>
    <w:rsid w:val="3B6027C1"/>
    <w:rsid w:val="3B6036C4"/>
    <w:rsid w:val="3B69EC3C"/>
    <w:rsid w:val="3B6CE18A"/>
    <w:rsid w:val="3B7CE572"/>
    <w:rsid w:val="3B8240D5"/>
    <w:rsid w:val="3B85CFDC"/>
    <w:rsid w:val="3B87C66C"/>
    <w:rsid w:val="3B938DE7"/>
    <w:rsid w:val="3B9A4443"/>
    <w:rsid w:val="3B9C32DF"/>
    <w:rsid w:val="3BA173F0"/>
    <w:rsid w:val="3BA5B185"/>
    <w:rsid w:val="3BA7B45B"/>
    <w:rsid w:val="3BB2EAF4"/>
    <w:rsid w:val="3BB4DBD5"/>
    <w:rsid w:val="3BB661A3"/>
    <w:rsid w:val="3BBF0452"/>
    <w:rsid w:val="3BC0E7D6"/>
    <w:rsid w:val="3BC21ED6"/>
    <w:rsid w:val="3BC8A875"/>
    <w:rsid w:val="3BD7104E"/>
    <w:rsid w:val="3BDA1033"/>
    <w:rsid w:val="3BDB4643"/>
    <w:rsid w:val="3BF1FFFE"/>
    <w:rsid w:val="3BF4A6C1"/>
    <w:rsid w:val="3C0A3D1D"/>
    <w:rsid w:val="3C100EC4"/>
    <w:rsid w:val="3C16B8CC"/>
    <w:rsid w:val="3C182031"/>
    <w:rsid w:val="3C198C70"/>
    <w:rsid w:val="3C217CBA"/>
    <w:rsid w:val="3C2B37BD"/>
    <w:rsid w:val="3C3469D1"/>
    <w:rsid w:val="3C432DD6"/>
    <w:rsid w:val="3C4DAE66"/>
    <w:rsid w:val="3C4FB2A1"/>
    <w:rsid w:val="3C518AA8"/>
    <w:rsid w:val="3C524E56"/>
    <w:rsid w:val="3C542AA4"/>
    <w:rsid w:val="3C6164C9"/>
    <w:rsid w:val="3C61E107"/>
    <w:rsid w:val="3C6ABD85"/>
    <w:rsid w:val="3C709435"/>
    <w:rsid w:val="3C750F4C"/>
    <w:rsid w:val="3C75E7AB"/>
    <w:rsid w:val="3C7A8C31"/>
    <w:rsid w:val="3C7B7009"/>
    <w:rsid w:val="3C853F20"/>
    <w:rsid w:val="3C8705B2"/>
    <w:rsid w:val="3C8BED05"/>
    <w:rsid w:val="3CA51FBB"/>
    <w:rsid w:val="3CACBEB9"/>
    <w:rsid w:val="3CB6E71F"/>
    <w:rsid w:val="3CB6E880"/>
    <w:rsid w:val="3CB90E97"/>
    <w:rsid w:val="3CC113C7"/>
    <w:rsid w:val="3CCB4229"/>
    <w:rsid w:val="3CCEC0A0"/>
    <w:rsid w:val="3CD22E2F"/>
    <w:rsid w:val="3CE60DC3"/>
    <w:rsid w:val="3CF4087C"/>
    <w:rsid w:val="3CF46507"/>
    <w:rsid w:val="3D000AA0"/>
    <w:rsid w:val="3D02767A"/>
    <w:rsid w:val="3D0D4157"/>
    <w:rsid w:val="3D10ECB9"/>
    <w:rsid w:val="3D120EA9"/>
    <w:rsid w:val="3D1228A5"/>
    <w:rsid w:val="3D165F1C"/>
    <w:rsid w:val="3D1B8E36"/>
    <w:rsid w:val="3D20A425"/>
    <w:rsid w:val="3D26800C"/>
    <w:rsid w:val="3D26F57D"/>
    <w:rsid w:val="3D3A01D6"/>
    <w:rsid w:val="3D3ADA8B"/>
    <w:rsid w:val="3D3D619E"/>
    <w:rsid w:val="3D405FDD"/>
    <w:rsid w:val="3D4423E2"/>
    <w:rsid w:val="3D4DEBC7"/>
    <w:rsid w:val="3D504D18"/>
    <w:rsid w:val="3D518BA4"/>
    <w:rsid w:val="3D82DF95"/>
    <w:rsid w:val="3D8E68B4"/>
    <w:rsid w:val="3D8F7978"/>
    <w:rsid w:val="3D97C5ED"/>
    <w:rsid w:val="3D97C7FF"/>
    <w:rsid w:val="3DA25787"/>
    <w:rsid w:val="3DA93684"/>
    <w:rsid w:val="3DC13278"/>
    <w:rsid w:val="3DC1C408"/>
    <w:rsid w:val="3DC23BE1"/>
    <w:rsid w:val="3DC3F628"/>
    <w:rsid w:val="3DCF003C"/>
    <w:rsid w:val="3DEC92F4"/>
    <w:rsid w:val="3DF9AF8E"/>
    <w:rsid w:val="3DF9DC7A"/>
    <w:rsid w:val="3DFD1822"/>
    <w:rsid w:val="3E07C6BD"/>
    <w:rsid w:val="3E0CB32B"/>
    <w:rsid w:val="3E0F1BA3"/>
    <w:rsid w:val="3E10DFAD"/>
    <w:rsid w:val="3E128FB8"/>
    <w:rsid w:val="3E16DA9F"/>
    <w:rsid w:val="3E22195F"/>
    <w:rsid w:val="3E25FDC5"/>
    <w:rsid w:val="3E2AEE0F"/>
    <w:rsid w:val="3E358118"/>
    <w:rsid w:val="3E36E1F9"/>
    <w:rsid w:val="3E370CE7"/>
    <w:rsid w:val="3E494F70"/>
    <w:rsid w:val="3E560872"/>
    <w:rsid w:val="3E587E3C"/>
    <w:rsid w:val="3E7027D6"/>
    <w:rsid w:val="3E703323"/>
    <w:rsid w:val="3E704F03"/>
    <w:rsid w:val="3E723732"/>
    <w:rsid w:val="3E743A9A"/>
    <w:rsid w:val="3E770FD7"/>
    <w:rsid w:val="3E8B476D"/>
    <w:rsid w:val="3E8C4384"/>
    <w:rsid w:val="3E9420C0"/>
    <w:rsid w:val="3EA4AC49"/>
    <w:rsid w:val="3EA53560"/>
    <w:rsid w:val="3EA576C6"/>
    <w:rsid w:val="3EA911B8"/>
    <w:rsid w:val="3ECDF08D"/>
    <w:rsid w:val="3EDD5062"/>
    <w:rsid w:val="3EEA9F6E"/>
    <w:rsid w:val="3EEE3785"/>
    <w:rsid w:val="3EF23F61"/>
    <w:rsid w:val="3EF87785"/>
    <w:rsid w:val="3F02837B"/>
    <w:rsid w:val="3F06186C"/>
    <w:rsid w:val="3F0728DF"/>
    <w:rsid w:val="3F07C569"/>
    <w:rsid w:val="3F0CE4EE"/>
    <w:rsid w:val="3F1436A7"/>
    <w:rsid w:val="3F165945"/>
    <w:rsid w:val="3F1F9975"/>
    <w:rsid w:val="3F370699"/>
    <w:rsid w:val="3F56C423"/>
    <w:rsid w:val="3F5B7A49"/>
    <w:rsid w:val="3F66B07A"/>
    <w:rsid w:val="3F6AF7DB"/>
    <w:rsid w:val="3F72E112"/>
    <w:rsid w:val="3F7A291B"/>
    <w:rsid w:val="3F7EE4D9"/>
    <w:rsid w:val="3F8338CA"/>
    <w:rsid w:val="3F91D2FB"/>
    <w:rsid w:val="3F93CF88"/>
    <w:rsid w:val="3F947E95"/>
    <w:rsid w:val="3FADF606"/>
    <w:rsid w:val="3FBCDFE2"/>
    <w:rsid w:val="3FD12A6A"/>
    <w:rsid w:val="3FD4B589"/>
    <w:rsid w:val="3FDF8D8A"/>
    <w:rsid w:val="3FF128EB"/>
    <w:rsid w:val="3FF81D25"/>
    <w:rsid w:val="40076727"/>
    <w:rsid w:val="4013BA49"/>
    <w:rsid w:val="4016051D"/>
    <w:rsid w:val="401CA06A"/>
    <w:rsid w:val="401FB62A"/>
    <w:rsid w:val="40393CB1"/>
    <w:rsid w:val="40406D0F"/>
    <w:rsid w:val="404AFE4B"/>
    <w:rsid w:val="4052E7D9"/>
    <w:rsid w:val="405B44DE"/>
    <w:rsid w:val="40678739"/>
    <w:rsid w:val="406CD04F"/>
    <w:rsid w:val="406FC3CF"/>
    <w:rsid w:val="40769F49"/>
    <w:rsid w:val="407922A8"/>
    <w:rsid w:val="40804C86"/>
    <w:rsid w:val="408EA9BF"/>
    <w:rsid w:val="408F45FD"/>
    <w:rsid w:val="4092F7AD"/>
    <w:rsid w:val="4096F0EE"/>
    <w:rsid w:val="40B896C7"/>
    <w:rsid w:val="40CC3F8F"/>
    <w:rsid w:val="40CEE228"/>
    <w:rsid w:val="40DBFDD9"/>
    <w:rsid w:val="40E7F41E"/>
    <w:rsid w:val="40F66A3F"/>
    <w:rsid w:val="40F97D81"/>
    <w:rsid w:val="40FADD8A"/>
    <w:rsid w:val="40FAEE53"/>
    <w:rsid w:val="40FD520F"/>
    <w:rsid w:val="40FED304"/>
    <w:rsid w:val="4101698A"/>
    <w:rsid w:val="41020E43"/>
    <w:rsid w:val="410BD36E"/>
    <w:rsid w:val="410C87EA"/>
    <w:rsid w:val="411D8CF7"/>
    <w:rsid w:val="411DC852"/>
    <w:rsid w:val="4123ED5B"/>
    <w:rsid w:val="412ECED5"/>
    <w:rsid w:val="41321974"/>
    <w:rsid w:val="4139EECB"/>
    <w:rsid w:val="41458AED"/>
    <w:rsid w:val="41461852"/>
    <w:rsid w:val="4151254B"/>
    <w:rsid w:val="41545808"/>
    <w:rsid w:val="415B01C4"/>
    <w:rsid w:val="415C140E"/>
    <w:rsid w:val="4162544F"/>
    <w:rsid w:val="41742A21"/>
    <w:rsid w:val="41766DF7"/>
    <w:rsid w:val="417B3195"/>
    <w:rsid w:val="417BD1A0"/>
    <w:rsid w:val="417CEB74"/>
    <w:rsid w:val="41840E2B"/>
    <w:rsid w:val="418A446D"/>
    <w:rsid w:val="4197640F"/>
    <w:rsid w:val="419B59D9"/>
    <w:rsid w:val="41BB38CC"/>
    <w:rsid w:val="41D1B3FC"/>
    <w:rsid w:val="41E1A5E6"/>
    <w:rsid w:val="41E2A983"/>
    <w:rsid w:val="41E64C02"/>
    <w:rsid w:val="41ECA05B"/>
    <w:rsid w:val="420051EE"/>
    <w:rsid w:val="420F36C1"/>
    <w:rsid w:val="4220150A"/>
    <w:rsid w:val="4220AA64"/>
    <w:rsid w:val="422917AB"/>
    <w:rsid w:val="4231F7FC"/>
    <w:rsid w:val="42342569"/>
    <w:rsid w:val="423816E0"/>
    <w:rsid w:val="423F9148"/>
    <w:rsid w:val="42406B5D"/>
    <w:rsid w:val="424A1E2F"/>
    <w:rsid w:val="42586A1C"/>
    <w:rsid w:val="4259E080"/>
    <w:rsid w:val="4264CB71"/>
    <w:rsid w:val="42912942"/>
    <w:rsid w:val="42983380"/>
    <w:rsid w:val="429C4A76"/>
    <w:rsid w:val="42A72ADC"/>
    <w:rsid w:val="42AA76BA"/>
    <w:rsid w:val="42B964F2"/>
    <w:rsid w:val="42B9BE81"/>
    <w:rsid w:val="42BFE404"/>
    <w:rsid w:val="42C3F2FE"/>
    <w:rsid w:val="42C832F1"/>
    <w:rsid w:val="42D1B329"/>
    <w:rsid w:val="42DA9AFA"/>
    <w:rsid w:val="42DCD11D"/>
    <w:rsid w:val="42E05F11"/>
    <w:rsid w:val="42E450D0"/>
    <w:rsid w:val="42E86992"/>
    <w:rsid w:val="4300C459"/>
    <w:rsid w:val="430B0331"/>
    <w:rsid w:val="430BDE99"/>
    <w:rsid w:val="430C7C24"/>
    <w:rsid w:val="4310D1E4"/>
    <w:rsid w:val="4311454A"/>
    <w:rsid w:val="4311B550"/>
    <w:rsid w:val="43184050"/>
    <w:rsid w:val="431E65CC"/>
    <w:rsid w:val="431E8465"/>
    <w:rsid w:val="4321C5C0"/>
    <w:rsid w:val="4325234D"/>
    <w:rsid w:val="4325C39E"/>
    <w:rsid w:val="43262F43"/>
    <w:rsid w:val="4327D5E8"/>
    <w:rsid w:val="434C932B"/>
    <w:rsid w:val="43800AF2"/>
    <w:rsid w:val="438C2A76"/>
    <w:rsid w:val="43979028"/>
    <w:rsid w:val="439C4D8D"/>
    <w:rsid w:val="439D0409"/>
    <w:rsid w:val="439DCEF0"/>
    <w:rsid w:val="439FD598"/>
    <w:rsid w:val="43ACB438"/>
    <w:rsid w:val="43B09D1D"/>
    <w:rsid w:val="43B185B7"/>
    <w:rsid w:val="43B3B3AA"/>
    <w:rsid w:val="43CFFFB2"/>
    <w:rsid w:val="43E2A792"/>
    <w:rsid w:val="43F016CD"/>
    <w:rsid w:val="43F452EC"/>
    <w:rsid w:val="43FA3019"/>
    <w:rsid w:val="44153434"/>
    <w:rsid w:val="44196000"/>
    <w:rsid w:val="441AD0B4"/>
    <w:rsid w:val="441BA386"/>
    <w:rsid w:val="441CAC20"/>
    <w:rsid w:val="442D44DA"/>
    <w:rsid w:val="442E5DD5"/>
    <w:rsid w:val="44301E60"/>
    <w:rsid w:val="4431F4E5"/>
    <w:rsid w:val="4432CADC"/>
    <w:rsid w:val="44337B9A"/>
    <w:rsid w:val="445239C4"/>
    <w:rsid w:val="445A3C64"/>
    <w:rsid w:val="445D614D"/>
    <w:rsid w:val="445DE6F1"/>
    <w:rsid w:val="44627DBD"/>
    <w:rsid w:val="4465AF9C"/>
    <w:rsid w:val="4488D074"/>
    <w:rsid w:val="449BC888"/>
    <w:rsid w:val="449D0537"/>
    <w:rsid w:val="44A1A7E3"/>
    <w:rsid w:val="44A5937A"/>
    <w:rsid w:val="44A6D392"/>
    <w:rsid w:val="44AAFACD"/>
    <w:rsid w:val="44AD3723"/>
    <w:rsid w:val="44AE9763"/>
    <w:rsid w:val="44B3B0AD"/>
    <w:rsid w:val="44B73344"/>
    <w:rsid w:val="44C6BD60"/>
    <w:rsid w:val="44C7D3A1"/>
    <w:rsid w:val="44CA0AC6"/>
    <w:rsid w:val="44D7FC8A"/>
    <w:rsid w:val="44E2FB0F"/>
    <w:rsid w:val="44F38D8A"/>
    <w:rsid w:val="45035764"/>
    <w:rsid w:val="45046497"/>
    <w:rsid w:val="4519A69F"/>
    <w:rsid w:val="451B7E01"/>
    <w:rsid w:val="452E8188"/>
    <w:rsid w:val="4531621D"/>
    <w:rsid w:val="453797F0"/>
    <w:rsid w:val="453B6F52"/>
    <w:rsid w:val="4542A9EA"/>
    <w:rsid w:val="4547686A"/>
    <w:rsid w:val="454F42AB"/>
    <w:rsid w:val="455002FA"/>
    <w:rsid w:val="455152AD"/>
    <w:rsid w:val="455F09F9"/>
    <w:rsid w:val="4565A68A"/>
    <w:rsid w:val="45678498"/>
    <w:rsid w:val="456804D7"/>
    <w:rsid w:val="4569E4E4"/>
    <w:rsid w:val="456B9993"/>
    <w:rsid w:val="4574373D"/>
    <w:rsid w:val="45806D93"/>
    <w:rsid w:val="458F0B75"/>
    <w:rsid w:val="45A1681F"/>
    <w:rsid w:val="45A84F29"/>
    <w:rsid w:val="45AAABB6"/>
    <w:rsid w:val="45AD696C"/>
    <w:rsid w:val="45AD82A1"/>
    <w:rsid w:val="45C19658"/>
    <w:rsid w:val="45C2061B"/>
    <w:rsid w:val="45D9137A"/>
    <w:rsid w:val="45DA0789"/>
    <w:rsid w:val="45E3DAF9"/>
    <w:rsid w:val="45F1316B"/>
    <w:rsid w:val="45F290B2"/>
    <w:rsid w:val="45F6A7AB"/>
    <w:rsid w:val="45FA13CA"/>
    <w:rsid w:val="45FCC098"/>
    <w:rsid w:val="46009021"/>
    <w:rsid w:val="460E4DEF"/>
    <w:rsid w:val="4612883D"/>
    <w:rsid w:val="46141F0D"/>
    <w:rsid w:val="461B21D7"/>
    <w:rsid w:val="461F77A3"/>
    <w:rsid w:val="4620A4BE"/>
    <w:rsid w:val="4638B2FC"/>
    <w:rsid w:val="4641345F"/>
    <w:rsid w:val="464A3E78"/>
    <w:rsid w:val="46503832"/>
    <w:rsid w:val="46734DE3"/>
    <w:rsid w:val="4679DF8F"/>
    <w:rsid w:val="46857A5A"/>
    <w:rsid w:val="46889A0B"/>
    <w:rsid w:val="4699A1A6"/>
    <w:rsid w:val="46B15C49"/>
    <w:rsid w:val="46B4AAA3"/>
    <w:rsid w:val="46CD7154"/>
    <w:rsid w:val="46D4F270"/>
    <w:rsid w:val="46F29EE7"/>
    <w:rsid w:val="46FA4546"/>
    <w:rsid w:val="46FA62B8"/>
    <w:rsid w:val="46FC6805"/>
    <w:rsid w:val="470AFFA7"/>
    <w:rsid w:val="470DED4D"/>
    <w:rsid w:val="471612A4"/>
    <w:rsid w:val="47355ADF"/>
    <w:rsid w:val="473980B2"/>
    <w:rsid w:val="473E0D45"/>
    <w:rsid w:val="47508904"/>
    <w:rsid w:val="4751B094"/>
    <w:rsid w:val="475202D9"/>
    <w:rsid w:val="4756B3DA"/>
    <w:rsid w:val="475E2C0B"/>
    <w:rsid w:val="4761CA7B"/>
    <w:rsid w:val="476572B0"/>
    <w:rsid w:val="47677027"/>
    <w:rsid w:val="476E5816"/>
    <w:rsid w:val="47723AE9"/>
    <w:rsid w:val="4776C700"/>
    <w:rsid w:val="477889E5"/>
    <w:rsid w:val="477A4CDD"/>
    <w:rsid w:val="477DBE1B"/>
    <w:rsid w:val="4787E696"/>
    <w:rsid w:val="478C1587"/>
    <w:rsid w:val="478D4218"/>
    <w:rsid w:val="478F579E"/>
    <w:rsid w:val="479329D5"/>
    <w:rsid w:val="47937A06"/>
    <w:rsid w:val="479BCE4F"/>
    <w:rsid w:val="47A5C270"/>
    <w:rsid w:val="47C71B0E"/>
    <w:rsid w:val="47C95E07"/>
    <w:rsid w:val="47C98A69"/>
    <w:rsid w:val="47D60D16"/>
    <w:rsid w:val="47DC2980"/>
    <w:rsid w:val="47E85BAD"/>
    <w:rsid w:val="47E95931"/>
    <w:rsid w:val="47EFA6FB"/>
    <w:rsid w:val="47F1A4EF"/>
    <w:rsid w:val="47F5358B"/>
    <w:rsid w:val="47FE47EA"/>
    <w:rsid w:val="48040A24"/>
    <w:rsid w:val="48080049"/>
    <w:rsid w:val="481C5821"/>
    <w:rsid w:val="481D4D5A"/>
    <w:rsid w:val="4828E753"/>
    <w:rsid w:val="4828FB50"/>
    <w:rsid w:val="4829A29E"/>
    <w:rsid w:val="482C3736"/>
    <w:rsid w:val="482C9DE8"/>
    <w:rsid w:val="4840B2B7"/>
    <w:rsid w:val="48466D0C"/>
    <w:rsid w:val="48493FE7"/>
    <w:rsid w:val="484A7053"/>
    <w:rsid w:val="4855C126"/>
    <w:rsid w:val="48560A7A"/>
    <w:rsid w:val="4859D569"/>
    <w:rsid w:val="485F9244"/>
    <w:rsid w:val="48711139"/>
    <w:rsid w:val="48769BF0"/>
    <w:rsid w:val="487864D3"/>
    <w:rsid w:val="4884E135"/>
    <w:rsid w:val="4887044D"/>
    <w:rsid w:val="48A11D36"/>
    <w:rsid w:val="48A236CE"/>
    <w:rsid w:val="48A6162D"/>
    <w:rsid w:val="48B2A548"/>
    <w:rsid w:val="48B4C55E"/>
    <w:rsid w:val="48BCAEBE"/>
    <w:rsid w:val="48C97403"/>
    <w:rsid w:val="48CFA5B9"/>
    <w:rsid w:val="48D16008"/>
    <w:rsid w:val="48D2CCE7"/>
    <w:rsid w:val="48DDE8DF"/>
    <w:rsid w:val="48DE9B52"/>
    <w:rsid w:val="48DEABFB"/>
    <w:rsid w:val="48E1BF16"/>
    <w:rsid w:val="48E5CAD2"/>
    <w:rsid w:val="48EE56FB"/>
    <w:rsid w:val="48F2ACEA"/>
    <w:rsid w:val="4912ACBD"/>
    <w:rsid w:val="491435FC"/>
    <w:rsid w:val="4916E3D7"/>
    <w:rsid w:val="49175FBC"/>
    <w:rsid w:val="49247524"/>
    <w:rsid w:val="493AE0F0"/>
    <w:rsid w:val="493C1D88"/>
    <w:rsid w:val="49439D75"/>
    <w:rsid w:val="4944AB9B"/>
    <w:rsid w:val="49464B87"/>
    <w:rsid w:val="49476253"/>
    <w:rsid w:val="495D4F32"/>
    <w:rsid w:val="4978A223"/>
    <w:rsid w:val="497EFE98"/>
    <w:rsid w:val="4991BA0A"/>
    <w:rsid w:val="49948003"/>
    <w:rsid w:val="4994FC73"/>
    <w:rsid w:val="49970D96"/>
    <w:rsid w:val="499FFCBB"/>
    <w:rsid w:val="49A5D77A"/>
    <w:rsid w:val="49AB6DAD"/>
    <w:rsid w:val="49B8DE80"/>
    <w:rsid w:val="49CD8B3A"/>
    <w:rsid w:val="49D50169"/>
    <w:rsid w:val="49DE4B58"/>
    <w:rsid w:val="49E84695"/>
    <w:rsid w:val="49FFC9AC"/>
    <w:rsid w:val="4A0C343D"/>
    <w:rsid w:val="4A1EDE94"/>
    <w:rsid w:val="4A200A44"/>
    <w:rsid w:val="4A2095D2"/>
    <w:rsid w:val="4A2207C4"/>
    <w:rsid w:val="4A2418F6"/>
    <w:rsid w:val="4A257D73"/>
    <w:rsid w:val="4A42957F"/>
    <w:rsid w:val="4A4667D5"/>
    <w:rsid w:val="4A4738F8"/>
    <w:rsid w:val="4A4FD401"/>
    <w:rsid w:val="4A6D2C22"/>
    <w:rsid w:val="4A7411F6"/>
    <w:rsid w:val="4A767EB5"/>
    <w:rsid w:val="4A7AB9DB"/>
    <w:rsid w:val="4A9759E4"/>
    <w:rsid w:val="4A9928F3"/>
    <w:rsid w:val="4AA13AFF"/>
    <w:rsid w:val="4AA76445"/>
    <w:rsid w:val="4AA9ECC0"/>
    <w:rsid w:val="4AB8784D"/>
    <w:rsid w:val="4AE44A89"/>
    <w:rsid w:val="4AE8F149"/>
    <w:rsid w:val="4AF1A7F0"/>
    <w:rsid w:val="4AFBB930"/>
    <w:rsid w:val="4AFC1BF5"/>
    <w:rsid w:val="4B083ED6"/>
    <w:rsid w:val="4B14A542"/>
    <w:rsid w:val="4B1C7C49"/>
    <w:rsid w:val="4B2AB563"/>
    <w:rsid w:val="4B2E7155"/>
    <w:rsid w:val="4B2FC9B4"/>
    <w:rsid w:val="4B30A182"/>
    <w:rsid w:val="4B35A9AE"/>
    <w:rsid w:val="4B45026F"/>
    <w:rsid w:val="4B462394"/>
    <w:rsid w:val="4B4B4647"/>
    <w:rsid w:val="4B58C373"/>
    <w:rsid w:val="4B5DCBDD"/>
    <w:rsid w:val="4B60709A"/>
    <w:rsid w:val="4B685F53"/>
    <w:rsid w:val="4B77EABB"/>
    <w:rsid w:val="4B7EFFD7"/>
    <w:rsid w:val="4B8623D5"/>
    <w:rsid w:val="4B8659E9"/>
    <w:rsid w:val="4B877727"/>
    <w:rsid w:val="4B8BE699"/>
    <w:rsid w:val="4B99263C"/>
    <w:rsid w:val="4BBBD132"/>
    <w:rsid w:val="4BC46F7D"/>
    <w:rsid w:val="4BC707C9"/>
    <w:rsid w:val="4BCAB4A1"/>
    <w:rsid w:val="4BE1DC70"/>
    <w:rsid w:val="4BE7BA4F"/>
    <w:rsid w:val="4BE9D2A0"/>
    <w:rsid w:val="4BEC0861"/>
    <w:rsid w:val="4BF7907A"/>
    <w:rsid w:val="4C0398CC"/>
    <w:rsid w:val="4C135771"/>
    <w:rsid w:val="4C14064F"/>
    <w:rsid w:val="4C15D497"/>
    <w:rsid w:val="4C177053"/>
    <w:rsid w:val="4C23FA27"/>
    <w:rsid w:val="4C2DCE1D"/>
    <w:rsid w:val="4C332A45"/>
    <w:rsid w:val="4C3A81F9"/>
    <w:rsid w:val="4C3D992D"/>
    <w:rsid w:val="4C50EE2D"/>
    <w:rsid w:val="4C58B1B3"/>
    <w:rsid w:val="4C5F86AA"/>
    <w:rsid w:val="4C655759"/>
    <w:rsid w:val="4C667716"/>
    <w:rsid w:val="4C69ECFD"/>
    <w:rsid w:val="4C83151D"/>
    <w:rsid w:val="4C8C231C"/>
    <w:rsid w:val="4C8C5ACB"/>
    <w:rsid w:val="4C8F0584"/>
    <w:rsid w:val="4C8FC54C"/>
    <w:rsid w:val="4C91F0B1"/>
    <w:rsid w:val="4C9533FB"/>
    <w:rsid w:val="4CAFC14B"/>
    <w:rsid w:val="4CB6CE96"/>
    <w:rsid w:val="4CB8053A"/>
    <w:rsid w:val="4CBBE4B4"/>
    <w:rsid w:val="4CC652D4"/>
    <w:rsid w:val="4CC87B3A"/>
    <w:rsid w:val="4CCE4531"/>
    <w:rsid w:val="4CDB716C"/>
    <w:rsid w:val="4CE11631"/>
    <w:rsid w:val="4CEA6957"/>
    <w:rsid w:val="4D147D27"/>
    <w:rsid w:val="4D265F25"/>
    <w:rsid w:val="4D289807"/>
    <w:rsid w:val="4D2B52A7"/>
    <w:rsid w:val="4D2E9D53"/>
    <w:rsid w:val="4D352374"/>
    <w:rsid w:val="4D4949C2"/>
    <w:rsid w:val="4D4C386E"/>
    <w:rsid w:val="4D4E6278"/>
    <w:rsid w:val="4D4FD8D9"/>
    <w:rsid w:val="4D5AD776"/>
    <w:rsid w:val="4D614818"/>
    <w:rsid w:val="4D61960C"/>
    <w:rsid w:val="4D65204B"/>
    <w:rsid w:val="4D81770B"/>
    <w:rsid w:val="4D8322C9"/>
    <w:rsid w:val="4D9E2F9F"/>
    <w:rsid w:val="4DAAB71D"/>
    <w:rsid w:val="4DAE1F77"/>
    <w:rsid w:val="4DBA27C5"/>
    <w:rsid w:val="4DBACB4B"/>
    <w:rsid w:val="4DC41ECE"/>
    <w:rsid w:val="4DC640A3"/>
    <w:rsid w:val="4DC99E7E"/>
    <w:rsid w:val="4DD51F23"/>
    <w:rsid w:val="4DD9B303"/>
    <w:rsid w:val="4DE9FF7E"/>
    <w:rsid w:val="4E016972"/>
    <w:rsid w:val="4E024777"/>
    <w:rsid w:val="4E034491"/>
    <w:rsid w:val="4E04F240"/>
    <w:rsid w:val="4E0B25C8"/>
    <w:rsid w:val="4E1E7CD8"/>
    <w:rsid w:val="4E2473CB"/>
    <w:rsid w:val="4E2698C5"/>
    <w:rsid w:val="4E26D0FD"/>
    <w:rsid w:val="4E2A8703"/>
    <w:rsid w:val="4E2D2245"/>
    <w:rsid w:val="4E3020CD"/>
    <w:rsid w:val="4E302DFD"/>
    <w:rsid w:val="4E372FF7"/>
    <w:rsid w:val="4E3D7FC2"/>
    <w:rsid w:val="4E407A97"/>
    <w:rsid w:val="4E494685"/>
    <w:rsid w:val="4E869999"/>
    <w:rsid w:val="4E8D4156"/>
    <w:rsid w:val="4E8E17C7"/>
    <w:rsid w:val="4E906435"/>
    <w:rsid w:val="4E91D1F6"/>
    <w:rsid w:val="4E933C75"/>
    <w:rsid w:val="4E988C27"/>
    <w:rsid w:val="4E9AF553"/>
    <w:rsid w:val="4EA7E13B"/>
    <w:rsid w:val="4EB94652"/>
    <w:rsid w:val="4EC54D85"/>
    <w:rsid w:val="4EC72308"/>
    <w:rsid w:val="4EC777B7"/>
    <w:rsid w:val="4ED7A9EE"/>
    <w:rsid w:val="4ED9D1EB"/>
    <w:rsid w:val="4EDC9027"/>
    <w:rsid w:val="4EEDBEA2"/>
    <w:rsid w:val="4EF6317C"/>
    <w:rsid w:val="4EFEA88B"/>
    <w:rsid w:val="4F0300FD"/>
    <w:rsid w:val="4F04C713"/>
    <w:rsid w:val="4F068598"/>
    <w:rsid w:val="4F0D22A8"/>
    <w:rsid w:val="4F183835"/>
    <w:rsid w:val="4F2368D2"/>
    <w:rsid w:val="4F30E51C"/>
    <w:rsid w:val="4F4E16A9"/>
    <w:rsid w:val="4F4EB5EA"/>
    <w:rsid w:val="4F5A9B82"/>
    <w:rsid w:val="4F5C711D"/>
    <w:rsid w:val="4F607A7B"/>
    <w:rsid w:val="4F666041"/>
    <w:rsid w:val="4F716DF2"/>
    <w:rsid w:val="4F7222BB"/>
    <w:rsid w:val="4F956AA9"/>
    <w:rsid w:val="4F96FE2C"/>
    <w:rsid w:val="4F97276C"/>
    <w:rsid w:val="4F99B27F"/>
    <w:rsid w:val="4F9C9C37"/>
    <w:rsid w:val="4FA39986"/>
    <w:rsid w:val="4FA6E034"/>
    <w:rsid w:val="4FAF650B"/>
    <w:rsid w:val="4FB1A0B5"/>
    <w:rsid w:val="4FB29FA8"/>
    <w:rsid w:val="4FBAB5DF"/>
    <w:rsid w:val="4FC25FF1"/>
    <w:rsid w:val="4FC3AA08"/>
    <w:rsid w:val="4FC80242"/>
    <w:rsid w:val="4FF568B4"/>
    <w:rsid w:val="4FF6EC6E"/>
    <w:rsid w:val="4FF960CA"/>
    <w:rsid w:val="4FFF8E96"/>
    <w:rsid w:val="4FFFCC42"/>
    <w:rsid w:val="500FF2CA"/>
    <w:rsid w:val="50160EE6"/>
    <w:rsid w:val="50195EE9"/>
    <w:rsid w:val="50218FD6"/>
    <w:rsid w:val="5021B1A8"/>
    <w:rsid w:val="502BC662"/>
    <w:rsid w:val="502DEDD9"/>
    <w:rsid w:val="5032890C"/>
    <w:rsid w:val="5032F74A"/>
    <w:rsid w:val="50363E97"/>
    <w:rsid w:val="5039B478"/>
    <w:rsid w:val="5052B3A0"/>
    <w:rsid w:val="5054B1D8"/>
    <w:rsid w:val="50571DBA"/>
    <w:rsid w:val="50693C80"/>
    <w:rsid w:val="506C5712"/>
    <w:rsid w:val="506C5C35"/>
    <w:rsid w:val="507414C4"/>
    <w:rsid w:val="507619F8"/>
    <w:rsid w:val="5082A05C"/>
    <w:rsid w:val="50832C26"/>
    <w:rsid w:val="50A39004"/>
    <w:rsid w:val="50A7C935"/>
    <w:rsid w:val="50AA66CA"/>
    <w:rsid w:val="50C22D6C"/>
    <w:rsid w:val="50C32F37"/>
    <w:rsid w:val="50D5DE98"/>
    <w:rsid w:val="50D9C7C5"/>
    <w:rsid w:val="50E1B259"/>
    <w:rsid w:val="50E1D9C6"/>
    <w:rsid w:val="50E5E57E"/>
    <w:rsid w:val="50F07FC6"/>
    <w:rsid w:val="5100A862"/>
    <w:rsid w:val="51075E48"/>
    <w:rsid w:val="510F1E75"/>
    <w:rsid w:val="51159578"/>
    <w:rsid w:val="5116662D"/>
    <w:rsid w:val="5124CAF9"/>
    <w:rsid w:val="51270C51"/>
    <w:rsid w:val="51324D97"/>
    <w:rsid w:val="513EBB14"/>
    <w:rsid w:val="514003B3"/>
    <w:rsid w:val="5143B059"/>
    <w:rsid w:val="514730CB"/>
    <w:rsid w:val="514759D2"/>
    <w:rsid w:val="51479263"/>
    <w:rsid w:val="514BF5EF"/>
    <w:rsid w:val="514EAB3D"/>
    <w:rsid w:val="514F61A0"/>
    <w:rsid w:val="5157D2CE"/>
    <w:rsid w:val="515E3987"/>
    <w:rsid w:val="51660BE8"/>
    <w:rsid w:val="516C1155"/>
    <w:rsid w:val="5170E825"/>
    <w:rsid w:val="517B0268"/>
    <w:rsid w:val="517DAD54"/>
    <w:rsid w:val="518F6571"/>
    <w:rsid w:val="5191E8B7"/>
    <w:rsid w:val="5198CEAF"/>
    <w:rsid w:val="51A08ED5"/>
    <w:rsid w:val="51B200B7"/>
    <w:rsid w:val="51B298B8"/>
    <w:rsid w:val="51BA3F37"/>
    <w:rsid w:val="51BA9D0C"/>
    <w:rsid w:val="51BFFC45"/>
    <w:rsid w:val="51C16F95"/>
    <w:rsid w:val="51C318F3"/>
    <w:rsid w:val="51C3955A"/>
    <w:rsid w:val="51D255AA"/>
    <w:rsid w:val="51DD8895"/>
    <w:rsid w:val="51DE4499"/>
    <w:rsid w:val="51DE811F"/>
    <w:rsid w:val="51E0696E"/>
    <w:rsid w:val="51E135FE"/>
    <w:rsid w:val="51E7E05C"/>
    <w:rsid w:val="51E86325"/>
    <w:rsid w:val="51FA7F4A"/>
    <w:rsid w:val="51FECDC3"/>
    <w:rsid w:val="52001471"/>
    <w:rsid w:val="5204A3AB"/>
    <w:rsid w:val="52080495"/>
    <w:rsid w:val="520D893B"/>
    <w:rsid w:val="5216375A"/>
    <w:rsid w:val="523025DF"/>
    <w:rsid w:val="523A7ECA"/>
    <w:rsid w:val="5242F420"/>
    <w:rsid w:val="52496EA3"/>
    <w:rsid w:val="524C12C5"/>
    <w:rsid w:val="526C062F"/>
    <w:rsid w:val="52766A20"/>
    <w:rsid w:val="527C10E4"/>
    <w:rsid w:val="527F1FAA"/>
    <w:rsid w:val="52818DC1"/>
    <w:rsid w:val="5287F13A"/>
    <w:rsid w:val="529280BF"/>
    <w:rsid w:val="52999876"/>
    <w:rsid w:val="52AC44EB"/>
    <w:rsid w:val="52ACA9B2"/>
    <w:rsid w:val="52AF9E53"/>
    <w:rsid w:val="52B5B4FC"/>
    <w:rsid w:val="52B70184"/>
    <w:rsid w:val="52D85F6E"/>
    <w:rsid w:val="52DF5878"/>
    <w:rsid w:val="52F3A492"/>
    <w:rsid w:val="52F9FFFD"/>
    <w:rsid w:val="52FDBFC6"/>
    <w:rsid w:val="5302994C"/>
    <w:rsid w:val="5310C818"/>
    <w:rsid w:val="531F0B11"/>
    <w:rsid w:val="531F8A43"/>
    <w:rsid w:val="5329AB76"/>
    <w:rsid w:val="532F4F38"/>
    <w:rsid w:val="53313424"/>
    <w:rsid w:val="533574C5"/>
    <w:rsid w:val="533FC080"/>
    <w:rsid w:val="5340BB93"/>
    <w:rsid w:val="5340E4F7"/>
    <w:rsid w:val="5341D820"/>
    <w:rsid w:val="5350D22B"/>
    <w:rsid w:val="53555F47"/>
    <w:rsid w:val="536C9AE1"/>
    <w:rsid w:val="5372C8F1"/>
    <w:rsid w:val="53741C37"/>
    <w:rsid w:val="53766C39"/>
    <w:rsid w:val="538356A9"/>
    <w:rsid w:val="53ABB1F0"/>
    <w:rsid w:val="53ABB586"/>
    <w:rsid w:val="53AFADA1"/>
    <w:rsid w:val="53AFE026"/>
    <w:rsid w:val="53B78365"/>
    <w:rsid w:val="53BF762D"/>
    <w:rsid w:val="53C77818"/>
    <w:rsid w:val="53CBEDBA"/>
    <w:rsid w:val="53D0C747"/>
    <w:rsid w:val="53D7690E"/>
    <w:rsid w:val="53E7E326"/>
    <w:rsid w:val="53ECFB93"/>
    <w:rsid w:val="53F1B3C8"/>
    <w:rsid w:val="53F6A7ED"/>
    <w:rsid w:val="53FD95A5"/>
    <w:rsid w:val="54109CEC"/>
    <w:rsid w:val="541538C9"/>
    <w:rsid w:val="5418528E"/>
    <w:rsid w:val="5419F57C"/>
    <w:rsid w:val="5422A292"/>
    <w:rsid w:val="5422F451"/>
    <w:rsid w:val="54296387"/>
    <w:rsid w:val="5429CF5A"/>
    <w:rsid w:val="543462A6"/>
    <w:rsid w:val="543A3E86"/>
    <w:rsid w:val="544053D9"/>
    <w:rsid w:val="54405EAB"/>
    <w:rsid w:val="544517A9"/>
    <w:rsid w:val="545902D3"/>
    <w:rsid w:val="545DA01D"/>
    <w:rsid w:val="546B126E"/>
    <w:rsid w:val="546FC9B0"/>
    <w:rsid w:val="54728615"/>
    <w:rsid w:val="547AE509"/>
    <w:rsid w:val="547D4378"/>
    <w:rsid w:val="5486501C"/>
    <w:rsid w:val="5487D8A6"/>
    <w:rsid w:val="54A238C0"/>
    <w:rsid w:val="54A24358"/>
    <w:rsid w:val="54A5824F"/>
    <w:rsid w:val="54A5AA28"/>
    <w:rsid w:val="54A77AA8"/>
    <w:rsid w:val="54AB13B3"/>
    <w:rsid w:val="54AD4273"/>
    <w:rsid w:val="54AED6BD"/>
    <w:rsid w:val="54AEDA6D"/>
    <w:rsid w:val="54B34CCC"/>
    <w:rsid w:val="54BA9036"/>
    <w:rsid w:val="54BAD948"/>
    <w:rsid w:val="54C1365E"/>
    <w:rsid w:val="54E65C99"/>
    <w:rsid w:val="54EA9CE8"/>
    <w:rsid w:val="54FC8B23"/>
    <w:rsid w:val="55011455"/>
    <w:rsid w:val="550CF6CA"/>
    <w:rsid w:val="55164614"/>
    <w:rsid w:val="551BA1C5"/>
    <w:rsid w:val="551FD501"/>
    <w:rsid w:val="55375708"/>
    <w:rsid w:val="553FC57D"/>
    <w:rsid w:val="553FC835"/>
    <w:rsid w:val="55413E06"/>
    <w:rsid w:val="55489DB5"/>
    <w:rsid w:val="554FCE13"/>
    <w:rsid w:val="5569B996"/>
    <w:rsid w:val="556A216D"/>
    <w:rsid w:val="556C88AE"/>
    <w:rsid w:val="556CB30F"/>
    <w:rsid w:val="556CF250"/>
    <w:rsid w:val="557DD610"/>
    <w:rsid w:val="55848BCF"/>
    <w:rsid w:val="55876D4D"/>
    <w:rsid w:val="558B4DE6"/>
    <w:rsid w:val="558E55CD"/>
    <w:rsid w:val="55903B07"/>
    <w:rsid w:val="559C230A"/>
    <w:rsid w:val="559C79DA"/>
    <w:rsid w:val="55B3BD0F"/>
    <w:rsid w:val="55B7F576"/>
    <w:rsid w:val="55BF3E49"/>
    <w:rsid w:val="55C14B2E"/>
    <w:rsid w:val="55C258F9"/>
    <w:rsid w:val="55C69821"/>
    <w:rsid w:val="55DE587E"/>
    <w:rsid w:val="55DE7B84"/>
    <w:rsid w:val="55E9B376"/>
    <w:rsid w:val="55E9DB18"/>
    <w:rsid w:val="56046BE3"/>
    <w:rsid w:val="5617C7D4"/>
    <w:rsid w:val="5617D1B6"/>
    <w:rsid w:val="5618434B"/>
    <w:rsid w:val="56185971"/>
    <w:rsid w:val="5622D2C3"/>
    <w:rsid w:val="56297DC0"/>
    <w:rsid w:val="5631A0BF"/>
    <w:rsid w:val="5633D385"/>
    <w:rsid w:val="563E2FA2"/>
    <w:rsid w:val="563F8507"/>
    <w:rsid w:val="565C20B1"/>
    <w:rsid w:val="5666DCDC"/>
    <w:rsid w:val="566A7E61"/>
    <w:rsid w:val="5671C836"/>
    <w:rsid w:val="567CA6C3"/>
    <w:rsid w:val="567F7E16"/>
    <w:rsid w:val="56918B55"/>
    <w:rsid w:val="5691DE3B"/>
    <w:rsid w:val="5695C7E0"/>
    <w:rsid w:val="56990C96"/>
    <w:rsid w:val="5699D41C"/>
    <w:rsid w:val="56A20EF9"/>
    <w:rsid w:val="56A269BF"/>
    <w:rsid w:val="56A95629"/>
    <w:rsid w:val="56A9F771"/>
    <w:rsid w:val="56AA612B"/>
    <w:rsid w:val="56AC9349"/>
    <w:rsid w:val="56B4CC89"/>
    <w:rsid w:val="56B51B8F"/>
    <w:rsid w:val="56BB9559"/>
    <w:rsid w:val="56C98EAF"/>
    <w:rsid w:val="56CBD961"/>
    <w:rsid w:val="56E942F5"/>
    <w:rsid w:val="56EA3502"/>
    <w:rsid w:val="56EE7297"/>
    <w:rsid w:val="56F53B26"/>
    <w:rsid w:val="56FD3CE6"/>
    <w:rsid w:val="56FE4F6C"/>
    <w:rsid w:val="57179386"/>
    <w:rsid w:val="5731F295"/>
    <w:rsid w:val="573227EE"/>
    <w:rsid w:val="573282D6"/>
    <w:rsid w:val="57409F72"/>
    <w:rsid w:val="5745CBEC"/>
    <w:rsid w:val="5748702A"/>
    <w:rsid w:val="575BDFC5"/>
    <w:rsid w:val="576071D9"/>
    <w:rsid w:val="57704D46"/>
    <w:rsid w:val="57723B59"/>
    <w:rsid w:val="57780EE3"/>
    <w:rsid w:val="57868B91"/>
    <w:rsid w:val="57933B9D"/>
    <w:rsid w:val="5793F6C0"/>
    <w:rsid w:val="579973FD"/>
    <w:rsid w:val="579AC752"/>
    <w:rsid w:val="57A16364"/>
    <w:rsid w:val="57AA26D7"/>
    <w:rsid w:val="57AB77C3"/>
    <w:rsid w:val="57B2E45D"/>
    <w:rsid w:val="57B448C3"/>
    <w:rsid w:val="57CB3BA6"/>
    <w:rsid w:val="57D0B54B"/>
    <w:rsid w:val="57D13290"/>
    <w:rsid w:val="57D43F99"/>
    <w:rsid w:val="57D547C6"/>
    <w:rsid w:val="57DA90B8"/>
    <w:rsid w:val="57DB30A5"/>
    <w:rsid w:val="57DB5568"/>
    <w:rsid w:val="57FDFB9C"/>
    <w:rsid w:val="58138E4E"/>
    <w:rsid w:val="5814FAAE"/>
    <w:rsid w:val="5815B6BC"/>
    <w:rsid w:val="5817AC41"/>
    <w:rsid w:val="581F56A8"/>
    <w:rsid w:val="5854A98E"/>
    <w:rsid w:val="5866EA91"/>
    <w:rsid w:val="5871714D"/>
    <w:rsid w:val="58834A22"/>
    <w:rsid w:val="5884339A"/>
    <w:rsid w:val="5892ADB6"/>
    <w:rsid w:val="589B6349"/>
    <w:rsid w:val="58A5B50C"/>
    <w:rsid w:val="58ABF2C2"/>
    <w:rsid w:val="58BD3F6A"/>
    <w:rsid w:val="58BF8290"/>
    <w:rsid w:val="58C8A87F"/>
    <w:rsid w:val="58CDF84F"/>
    <w:rsid w:val="58D29C93"/>
    <w:rsid w:val="58D39395"/>
    <w:rsid w:val="58D4E8E9"/>
    <w:rsid w:val="58DA02B9"/>
    <w:rsid w:val="58DA89A6"/>
    <w:rsid w:val="590ACD84"/>
    <w:rsid w:val="59162EC6"/>
    <w:rsid w:val="591938D0"/>
    <w:rsid w:val="591D1279"/>
    <w:rsid w:val="592BD180"/>
    <w:rsid w:val="592CB3CF"/>
    <w:rsid w:val="592FCC39"/>
    <w:rsid w:val="594D9AF6"/>
    <w:rsid w:val="594F7AF6"/>
    <w:rsid w:val="59507445"/>
    <w:rsid w:val="5967EA25"/>
    <w:rsid w:val="596985AB"/>
    <w:rsid w:val="596ECFE2"/>
    <w:rsid w:val="59728407"/>
    <w:rsid w:val="597637EF"/>
    <w:rsid w:val="59818331"/>
    <w:rsid w:val="59832471"/>
    <w:rsid w:val="5988017A"/>
    <w:rsid w:val="5996A070"/>
    <w:rsid w:val="599A399C"/>
    <w:rsid w:val="599BF42B"/>
    <w:rsid w:val="59B58331"/>
    <w:rsid w:val="59BDBBE1"/>
    <w:rsid w:val="59DC6C99"/>
    <w:rsid w:val="59DF65DD"/>
    <w:rsid w:val="59E924C9"/>
    <w:rsid w:val="59E93E4E"/>
    <w:rsid w:val="59F1A17A"/>
    <w:rsid w:val="59F2A437"/>
    <w:rsid w:val="5A0DEFF7"/>
    <w:rsid w:val="5A163CCB"/>
    <w:rsid w:val="5A1A8A64"/>
    <w:rsid w:val="5A1C8760"/>
    <w:rsid w:val="5A269033"/>
    <w:rsid w:val="5A2B44CD"/>
    <w:rsid w:val="5A3098F9"/>
    <w:rsid w:val="5A370716"/>
    <w:rsid w:val="5A375DAB"/>
    <w:rsid w:val="5A3EFCA8"/>
    <w:rsid w:val="5A428CAA"/>
    <w:rsid w:val="5A4D0286"/>
    <w:rsid w:val="5A4ECF31"/>
    <w:rsid w:val="5A55AEAC"/>
    <w:rsid w:val="5A581DCF"/>
    <w:rsid w:val="5A604355"/>
    <w:rsid w:val="5A719488"/>
    <w:rsid w:val="5A8033AB"/>
    <w:rsid w:val="5A96E5A6"/>
    <w:rsid w:val="5AA08ECA"/>
    <w:rsid w:val="5AA295BD"/>
    <w:rsid w:val="5AC19C12"/>
    <w:rsid w:val="5AC27798"/>
    <w:rsid w:val="5AC33BEC"/>
    <w:rsid w:val="5AD0027C"/>
    <w:rsid w:val="5AD4FE05"/>
    <w:rsid w:val="5AE5857B"/>
    <w:rsid w:val="5AEC2DAF"/>
    <w:rsid w:val="5AEEC8EF"/>
    <w:rsid w:val="5AEEFC55"/>
    <w:rsid w:val="5AEF5B0C"/>
    <w:rsid w:val="5AF2B2B3"/>
    <w:rsid w:val="5AF643E6"/>
    <w:rsid w:val="5AF9CDCD"/>
    <w:rsid w:val="5B0B7FE4"/>
    <w:rsid w:val="5B0FE642"/>
    <w:rsid w:val="5B14C3D3"/>
    <w:rsid w:val="5B16CAF8"/>
    <w:rsid w:val="5B2EFAB7"/>
    <w:rsid w:val="5B31BD6D"/>
    <w:rsid w:val="5B41E556"/>
    <w:rsid w:val="5B496D3B"/>
    <w:rsid w:val="5B4E4884"/>
    <w:rsid w:val="5B54E86D"/>
    <w:rsid w:val="5B597C97"/>
    <w:rsid w:val="5B65708B"/>
    <w:rsid w:val="5B6A77A0"/>
    <w:rsid w:val="5B6B4A66"/>
    <w:rsid w:val="5B6BB90E"/>
    <w:rsid w:val="5B826F8E"/>
    <w:rsid w:val="5B8F114D"/>
    <w:rsid w:val="5B95C87C"/>
    <w:rsid w:val="5BADC20F"/>
    <w:rsid w:val="5BB7601E"/>
    <w:rsid w:val="5BB8C02F"/>
    <w:rsid w:val="5BBB85ED"/>
    <w:rsid w:val="5BBFA1E4"/>
    <w:rsid w:val="5BC7408F"/>
    <w:rsid w:val="5BC9D29D"/>
    <w:rsid w:val="5BD02819"/>
    <w:rsid w:val="5BD474BF"/>
    <w:rsid w:val="5BE1F6DA"/>
    <w:rsid w:val="5BF5E968"/>
    <w:rsid w:val="5BF7BC96"/>
    <w:rsid w:val="5BFB9CEC"/>
    <w:rsid w:val="5C024B1B"/>
    <w:rsid w:val="5C042409"/>
    <w:rsid w:val="5C0E9747"/>
    <w:rsid w:val="5C0EAD2C"/>
    <w:rsid w:val="5C108D53"/>
    <w:rsid w:val="5C1E0A54"/>
    <w:rsid w:val="5C2D2E85"/>
    <w:rsid w:val="5C39FF79"/>
    <w:rsid w:val="5C4A1C75"/>
    <w:rsid w:val="5C4EFE5A"/>
    <w:rsid w:val="5C516D0F"/>
    <w:rsid w:val="5C8A2300"/>
    <w:rsid w:val="5C946996"/>
    <w:rsid w:val="5C96743D"/>
    <w:rsid w:val="5C976BD7"/>
    <w:rsid w:val="5CAE3DA3"/>
    <w:rsid w:val="5CB29B59"/>
    <w:rsid w:val="5CB54021"/>
    <w:rsid w:val="5CCC7494"/>
    <w:rsid w:val="5CD619FE"/>
    <w:rsid w:val="5CE05A5F"/>
    <w:rsid w:val="5CE2A4B5"/>
    <w:rsid w:val="5CE3910F"/>
    <w:rsid w:val="5CEBB591"/>
    <w:rsid w:val="5CF34BEE"/>
    <w:rsid w:val="5CFD8DC0"/>
    <w:rsid w:val="5CFFDBBD"/>
    <w:rsid w:val="5D00A0B7"/>
    <w:rsid w:val="5D0B7FE0"/>
    <w:rsid w:val="5D0C4824"/>
    <w:rsid w:val="5D0D1276"/>
    <w:rsid w:val="5D0E326D"/>
    <w:rsid w:val="5D160A3A"/>
    <w:rsid w:val="5D1C0E0F"/>
    <w:rsid w:val="5D26BD89"/>
    <w:rsid w:val="5D2C5F42"/>
    <w:rsid w:val="5D36C3FF"/>
    <w:rsid w:val="5D3B6D1C"/>
    <w:rsid w:val="5D4272AA"/>
    <w:rsid w:val="5D5307ED"/>
    <w:rsid w:val="5D5FC718"/>
    <w:rsid w:val="5D647486"/>
    <w:rsid w:val="5D661670"/>
    <w:rsid w:val="5D6B7E41"/>
    <w:rsid w:val="5D6D3206"/>
    <w:rsid w:val="5D72B1F8"/>
    <w:rsid w:val="5D79DF7C"/>
    <w:rsid w:val="5D7A0781"/>
    <w:rsid w:val="5D7B193A"/>
    <w:rsid w:val="5D858026"/>
    <w:rsid w:val="5D884115"/>
    <w:rsid w:val="5D8E72CB"/>
    <w:rsid w:val="5D91B9C9"/>
    <w:rsid w:val="5D94A1F9"/>
    <w:rsid w:val="5D967D57"/>
    <w:rsid w:val="5D9C7FD9"/>
    <w:rsid w:val="5DA16972"/>
    <w:rsid w:val="5DA89E9F"/>
    <w:rsid w:val="5DB3FB6D"/>
    <w:rsid w:val="5DB8B5F1"/>
    <w:rsid w:val="5DBCC5F5"/>
    <w:rsid w:val="5DBDCA4E"/>
    <w:rsid w:val="5DBF9F3E"/>
    <w:rsid w:val="5DC52293"/>
    <w:rsid w:val="5DCB84A0"/>
    <w:rsid w:val="5DD4F204"/>
    <w:rsid w:val="5DDDF114"/>
    <w:rsid w:val="5DE6C508"/>
    <w:rsid w:val="5DE9D476"/>
    <w:rsid w:val="5DEA0261"/>
    <w:rsid w:val="5DF601A0"/>
    <w:rsid w:val="5E06FB41"/>
    <w:rsid w:val="5E11B420"/>
    <w:rsid w:val="5E1847E2"/>
    <w:rsid w:val="5E1F8825"/>
    <w:rsid w:val="5E2D1E38"/>
    <w:rsid w:val="5E30155F"/>
    <w:rsid w:val="5E333C38"/>
    <w:rsid w:val="5E3CF6CE"/>
    <w:rsid w:val="5E41825B"/>
    <w:rsid w:val="5E486AEF"/>
    <w:rsid w:val="5E5A6ED5"/>
    <w:rsid w:val="5E5E3958"/>
    <w:rsid w:val="5E78EA63"/>
    <w:rsid w:val="5E8F1C4F"/>
    <w:rsid w:val="5E9EF286"/>
    <w:rsid w:val="5EA0EDB1"/>
    <w:rsid w:val="5EAC354A"/>
    <w:rsid w:val="5EB1B078"/>
    <w:rsid w:val="5EC2DA4B"/>
    <w:rsid w:val="5EC2E87B"/>
    <w:rsid w:val="5ED9B8A0"/>
    <w:rsid w:val="5EDF4C9C"/>
    <w:rsid w:val="5EE45FF7"/>
    <w:rsid w:val="5EE6EAC8"/>
    <w:rsid w:val="5EEC156B"/>
    <w:rsid w:val="5EEFA498"/>
    <w:rsid w:val="5EF546E7"/>
    <w:rsid w:val="5EF60142"/>
    <w:rsid w:val="5F008B6F"/>
    <w:rsid w:val="5F078954"/>
    <w:rsid w:val="5F094B4B"/>
    <w:rsid w:val="5F0B91D6"/>
    <w:rsid w:val="5F0DB463"/>
    <w:rsid w:val="5F15FDCD"/>
    <w:rsid w:val="5F1BF8E9"/>
    <w:rsid w:val="5F1F38D2"/>
    <w:rsid w:val="5F227DDF"/>
    <w:rsid w:val="5F2A432C"/>
    <w:rsid w:val="5F2C25B4"/>
    <w:rsid w:val="5F307597"/>
    <w:rsid w:val="5F3D4C7B"/>
    <w:rsid w:val="5F4A38F9"/>
    <w:rsid w:val="5F4B719E"/>
    <w:rsid w:val="5F4FCBCE"/>
    <w:rsid w:val="5F642CC3"/>
    <w:rsid w:val="5F67AAC4"/>
    <w:rsid w:val="5F6B88E0"/>
    <w:rsid w:val="5F6F7A03"/>
    <w:rsid w:val="5F7C4927"/>
    <w:rsid w:val="5F8FA632"/>
    <w:rsid w:val="5F9C671A"/>
    <w:rsid w:val="5F9ECC74"/>
    <w:rsid w:val="5F9FDAF2"/>
    <w:rsid w:val="5FA3C8E5"/>
    <w:rsid w:val="5FAD02AF"/>
    <w:rsid w:val="5FB13E6C"/>
    <w:rsid w:val="5FBA7F66"/>
    <w:rsid w:val="5FC35F70"/>
    <w:rsid w:val="5FD30A56"/>
    <w:rsid w:val="5FDFD415"/>
    <w:rsid w:val="5FE5ED18"/>
    <w:rsid w:val="5FE7B9D5"/>
    <w:rsid w:val="5FED5409"/>
    <w:rsid w:val="5FFA51A7"/>
    <w:rsid w:val="5FFC4617"/>
    <w:rsid w:val="600884DA"/>
    <w:rsid w:val="6024C066"/>
    <w:rsid w:val="6026266D"/>
    <w:rsid w:val="602655CE"/>
    <w:rsid w:val="6036DC3F"/>
    <w:rsid w:val="60529AAF"/>
    <w:rsid w:val="605D2782"/>
    <w:rsid w:val="60662CD2"/>
    <w:rsid w:val="60668ABB"/>
    <w:rsid w:val="6076444C"/>
    <w:rsid w:val="6077397D"/>
    <w:rsid w:val="607A6758"/>
    <w:rsid w:val="608F1152"/>
    <w:rsid w:val="608F841E"/>
    <w:rsid w:val="60911748"/>
    <w:rsid w:val="609C1D6C"/>
    <w:rsid w:val="60A25DE3"/>
    <w:rsid w:val="60A3525B"/>
    <w:rsid w:val="60A4F762"/>
    <w:rsid w:val="60A61C3C"/>
    <w:rsid w:val="60BB8772"/>
    <w:rsid w:val="60CF34F1"/>
    <w:rsid w:val="60DCF926"/>
    <w:rsid w:val="60E5F631"/>
    <w:rsid w:val="60F75A37"/>
    <w:rsid w:val="60F88BB2"/>
    <w:rsid w:val="610B6D91"/>
    <w:rsid w:val="6116B5AD"/>
    <w:rsid w:val="6119FF52"/>
    <w:rsid w:val="61228D26"/>
    <w:rsid w:val="6126AD54"/>
    <w:rsid w:val="612A0201"/>
    <w:rsid w:val="61329F72"/>
    <w:rsid w:val="6133A6B4"/>
    <w:rsid w:val="61362148"/>
    <w:rsid w:val="6137E0C0"/>
    <w:rsid w:val="613E068F"/>
    <w:rsid w:val="613E4B3C"/>
    <w:rsid w:val="6148FCEF"/>
    <w:rsid w:val="614BA6AA"/>
    <w:rsid w:val="614C996E"/>
    <w:rsid w:val="61506A39"/>
    <w:rsid w:val="6151F6AA"/>
    <w:rsid w:val="615B6F33"/>
    <w:rsid w:val="61758392"/>
    <w:rsid w:val="617C8745"/>
    <w:rsid w:val="618A67FD"/>
    <w:rsid w:val="618A9002"/>
    <w:rsid w:val="61921943"/>
    <w:rsid w:val="619C1679"/>
    <w:rsid w:val="61A4F7DB"/>
    <w:rsid w:val="61A80C81"/>
    <w:rsid w:val="61A8C17E"/>
    <w:rsid w:val="61AADF76"/>
    <w:rsid w:val="61ACC3F5"/>
    <w:rsid w:val="61AE0223"/>
    <w:rsid w:val="61BD7711"/>
    <w:rsid w:val="61CA9767"/>
    <w:rsid w:val="61D1702C"/>
    <w:rsid w:val="61D31554"/>
    <w:rsid w:val="61D4D926"/>
    <w:rsid w:val="61D7293B"/>
    <w:rsid w:val="61D863EF"/>
    <w:rsid w:val="61DFFADD"/>
    <w:rsid w:val="61E5D7E3"/>
    <w:rsid w:val="61E9513A"/>
    <w:rsid w:val="61F759C8"/>
    <w:rsid w:val="620698B1"/>
    <w:rsid w:val="620A8510"/>
    <w:rsid w:val="621B03EB"/>
    <w:rsid w:val="621DDC28"/>
    <w:rsid w:val="621E63F9"/>
    <w:rsid w:val="621FBC4D"/>
    <w:rsid w:val="6225F814"/>
    <w:rsid w:val="6247DD13"/>
    <w:rsid w:val="625A6C4A"/>
    <w:rsid w:val="625F9710"/>
    <w:rsid w:val="6268170F"/>
    <w:rsid w:val="62751B0E"/>
    <w:rsid w:val="627B70F2"/>
    <w:rsid w:val="628C61FB"/>
    <w:rsid w:val="629AA0F5"/>
    <w:rsid w:val="629B9B2F"/>
    <w:rsid w:val="62A17136"/>
    <w:rsid w:val="62AC079B"/>
    <w:rsid w:val="62BEE887"/>
    <w:rsid w:val="62C0F340"/>
    <w:rsid w:val="62CA77F1"/>
    <w:rsid w:val="62D60C90"/>
    <w:rsid w:val="62DBAE18"/>
    <w:rsid w:val="62DD30BD"/>
    <w:rsid w:val="62E59F4A"/>
    <w:rsid w:val="62EC6B28"/>
    <w:rsid w:val="62F9D3B1"/>
    <w:rsid w:val="62FD361B"/>
    <w:rsid w:val="6306788B"/>
    <w:rsid w:val="6308B1DF"/>
    <w:rsid w:val="630DA434"/>
    <w:rsid w:val="63113548"/>
    <w:rsid w:val="63124E7D"/>
    <w:rsid w:val="6319A4FB"/>
    <w:rsid w:val="63207B1C"/>
    <w:rsid w:val="6320E43F"/>
    <w:rsid w:val="63258218"/>
    <w:rsid w:val="632ACCA0"/>
    <w:rsid w:val="632FFA7E"/>
    <w:rsid w:val="6337D2A7"/>
    <w:rsid w:val="633D83EE"/>
    <w:rsid w:val="6340259C"/>
    <w:rsid w:val="634315DC"/>
    <w:rsid w:val="63481E7C"/>
    <w:rsid w:val="63544F64"/>
    <w:rsid w:val="636D408D"/>
    <w:rsid w:val="638A24A2"/>
    <w:rsid w:val="63910AAD"/>
    <w:rsid w:val="63955C1D"/>
    <w:rsid w:val="639A7637"/>
    <w:rsid w:val="63A20052"/>
    <w:rsid w:val="63B8AF74"/>
    <w:rsid w:val="63B9AC89"/>
    <w:rsid w:val="63B9E1B8"/>
    <w:rsid w:val="63C20924"/>
    <w:rsid w:val="63C6C9DE"/>
    <w:rsid w:val="63CBD027"/>
    <w:rsid w:val="63D9D5CB"/>
    <w:rsid w:val="63E63B24"/>
    <w:rsid w:val="63EC168A"/>
    <w:rsid w:val="63EEA569"/>
    <w:rsid w:val="63F33B5C"/>
    <w:rsid w:val="63FA2F8D"/>
    <w:rsid w:val="63FE23EA"/>
    <w:rsid w:val="64062338"/>
    <w:rsid w:val="6420F446"/>
    <w:rsid w:val="6424D779"/>
    <w:rsid w:val="6428FDFE"/>
    <w:rsid w:val="642CA5C8"/>
    <w:rsid w:val="6433E6A1"/>
    <w:rsid w:val="64365FA9"/>
    <w:rsid w:val="64409D9A"/>
    <w:rsid w:val="64419642"/>
    <w:rsid w:val="64519576"/>
    <w:rsid w:val="64528CB5"/>
    <w:rsid w:val="6459982C"/>
    <w:rsid w:val="646171FD"/>
    <w:rsid w:val="646AE0D2"/>
    <w:rsid w:val="646C10BE"/>
    <w:rsid w:val="64793F92"/>
    <w:rsid w:val="6485C312"/>
    <w:rsid w:val="648F9A4B"/>
    <w:rsid w:val="6492CBCB"/>
    <w:rsid w:val="64998466"/>
    <w:rsid w:val="649DB09D"/>
    <w:rsid w:val="64ADF00A"/>
    <w:rsid w:val="64AEC417"/>
    <w:rsid w:val="64B2A5E1"/>
    <w:rsid w:val="64B501CE"/>
    <w:rsid w:val="64BA7554"/>
    <w:rsid w:val="64D38F94"/>
    <w:rsid w:val="64D73C10"/>
    <w:rsid w:val="64E79855"/>
    <w:rsid w:val="64EA07B8"/>
    <w:rsid w:val="64EC728D"/>
    <w:rsid w:val="64F46825"/>
    <w:rsid w:val="64F79542"/>
    <w:rsid w:val="64F87AF5"/>
    <w:rsid w:val="64FFEB33"/>
    <w:rsid w:val="65023829"/>
    <w:rsid w:val="6509D546"/>
    <w:rsid w:val="650C79E8"/>
    <w:rsid w:val="652970AF"/>
    <w:rsid w:val="652C370D"/>
    <w:rsid w:val="652EF105"/>
    <w:rsid w:val="654AE92B"/>
    <w:rsid w:val="65557CEA"/>
    <w:rsid w:val="65653B23"/>
    <w:rsid w:val="65811799"/>
    <w:rsid w:val="659352FA"/>
    <w:rsid w:val="659C21FE"/>
    <w:rsid w:val="65A84B4F"/>
    <w:rsid w:val="65B18888"/>
    <w:rsid w:val="65B99837"/>
    <w:rsid w:val="65C154DA"/>
    <w:rsid w:val="65C6978C"/>
    <w:rsid w:val="65C6FC72"/>
    <w:rsid w:val="65CA7E9D"/>
    <w:rsid w:val="65D7A8FB"/>
    <w:rsid w:val="65D8AE90"/>
    <w:rsid w:val="65F00D51"/>
    <w:rsid w:val="65F88C0B"/>
    <w:rsid w:val="65FF56C2"/>
    <w:rsid w:val="66002317"/>
    <w:rsid w:val="66052E1D"/>
    <w:rsid w:val="6615923E"/>
    <w:rsid w:val="66176C85"/>
    <w:rsid w:val="6617C829"/>
    <w:rsid w:val="661C841D"/>
    <w:rsid w:val="66225417"/>
    <w:rsid w:val="66362420"/>
    <w:rsid w:val="6638751B"/>
    <w:rsid w:val="663D3168"/>
    <w:rsid w:val="66453D29"/>
    <w:rsid w:val="664B91BA"/>
    <w:rsid w:val="664DA203"/>
    <w:rsid w:val="6662FEB7"/>
    <w:rsid w:val="666A8DCB"/>
    <w:rsid w:val="66705E9E"/>
    <w:rsid w:val="6680449A"/>
    <w:rsid w:val="668388E4"/>
    <w:rsid w:val="668ED9A8"/>
    <w:rsid w:val="6691CDD8"/>
    <w:rsid w:val="6694130D"/>
    <w:rsid w:val="669A855F"/>
    <w:rsid w:val="669AC5A7"/>
    <w:rsid w:val="66A09D29"/>
    <w:rsid w:val="66AA4DFF"/>
    <w:rsid w:val="66B90D05"/>
    <w:rsid w:val="66C229B9"/>
    <w:rsid w:val="66C46852"/>
    <w:rsid w:val="66E0E9B3"/>
    <w:rsid w:val="66E8C222"/>
    <w:rsid w:val="66E97C64"/>
    <w:rsid w:val="66F14D4B"/>
    <w:rsid w:val="66F4BFD3"/>
    <w:rsid w:val="66FA1C09"/>
    <w:rsid w:val="66FEFC3D"/>
    <w:rsid w:val="6701FE95"/>
    <w:rsid w:val="6708C9FC"/>
    <w:rsid w:val="6714BF70"/>
    <w:rsid w:val="6718452F"/>
    <w:rsid w:val="67214596"/>
    <w:rsid w:val="6723BDA3"/>
    <w:rsid w:val="67255963"/>
    <w:rsid w:val="672694C0"/>
    <w:rsid w:val="672AF86E"/>
    <w:rsid w:val="6742E17F"/>
    <w:rsid w:val="6753B414"/>
    <w:rsid w:val="6761D73B"/>
    <w:rsid w:val="67671B94"/>
    <w:rsid w:val="676E12B6"/>
    <w:rsid w:val="677B0559"/>
    <w:rsid w:val="677C94EE"/>
    <w:rsid w:val="677FB319"/>
    <w:rsid w:val="6783FB9F"/>
    <w:rsid w:val="6789C342"/>
    <w:rsid w:val="67AF1AEE"/>
    <w:rsid w:val="67B270DE"/>
    <w:rsid w:val="67B8402F"/>
    <w:rsid w:val="67BE9068"/>
    <w:rsid w:val="67C04AA1"/>
    <w:rsid w:val="67C0B73A"/>
    <w:rsid w:val="67C340BD"/>
    <w:rsid w:val="67C73B0D"/>
    <w:rsid w:val="67D09A6A"/>
    <w:rsid w:val="67D1838C"/>
    <w:rsid w:val="67DA1E7E"/>
    <w:rsid w:val="67DFB7B4"/>
    <w:rsid w:val="67E526A2"/>
    <w:rsid w:val="67E57F53"/>
    <w:rsid w:val="67E5BFA0"/>
    <w:rsid w:val="67EDF634"/>
    <w:rsid w:val="67F5E2CF"/>
    <w:rsid w:val="67F9A8A6"/>
    <w:rsid w:val="67FEB44A"/>
    <w:rsid w:val="68015AC7"/>
    <w:rsid w:val="68041A11"/>
    <w:rsid w:val="6808191A"/>
    <w:rsid w:val="6809CFC8"/>
    <w:rsid w:val="68167D13"/>
    <w:rsid w:val="682377A8"/>
    <w:rsid w:val="68296253"/>
    <w:rsid w:val="68377A44"/>
    <w:rsid w:val="6839ED49"/>
    <w:rsid w:val="683AB676"/>
    <w:rsid w:val="683DEC1B"/>
    <w:rsid w:val="6844938D"/>
    <w:rsid w:val="684E2831"/>
    <w:rsid w:val="68593AA7"/>
    <w:rsid w:val="687AE914"/>
    <w:rsid w:val="688031D9"/>
    <w:rsid w:val="6884DFFE"/>
    <w:rsid w:val="6888C32B"/>
    <w:rsid w:val="688BCF8E"/>
    <w:rsid w:val="689C526D"/>
    <w:rsid w:val="68A3C72A"/>
    <w:rsid w:val="68B5CE8E"/>
    <w:rsid w:val="68C4A108"/>
    <w:rsid w:val="68D471BF"/>
    <w:rsid w:val="68E3B5F1"/>
    <w:rsid w:val="68E860F5"/>
    <w:rsid w:val="68E86469"/>
    <w:rsid w:val="68E8CE86"/>
    <w:rsid w:val="68F77254"/>
    <w:rsid w:val="68FB9083"/>
    <w:rsid w:val="69044A12"/>
    <w:rsid w:val="6916CFF9"/>
    <w:rsid w:val="692AF1DE"/>
    <w:rsid w:val="693305D6"/>
    <w:rsid w:val="69358E07"/>
    <w:rsid w:val="693AE677"/>
    <w:rsid w:val="694E15E4"/>
    <w:rsid w:val="6955F518"/>
    <w:rsid w:val="69633D44"/>
    <w:rsid w:val="69638F53"/>
    <w:rsid w:val="696F6762"/>
    <w:rsid w:val="697B6A6B"/>
    <w:rsid w:val="69922D22"/>
    <w:rsid w:val="699B1CA9"/>
    <w:rsid w:val="699B35DC"/>
    <w:rsid w:val="69A4605D"/>
    <w:rsid w:val="69A9E0E2"/>
    <w:rsid w:val="69B01146"/>
    <w:rsid w:val="69B531DA"/>
    <w:rsid w:val="69B6B5AA"/>
    <w:rsid w:val="69B9DE0B"/>
    <w:rsid w:val="69BC6DF2"/>
    <w:rsid w:val="69D5A94C"/>
    <w:rsid w:val="69D8CE03"/>
    <w:rsid w:val="69E82259"/>
    <w:rsid w:val="69F2D351"/>
    <w:rsid w:val="69F7B3A9"/>
    <w:rsid w:val="69FD281A"/>
    <w:rsid w:val="6A0BD686"/>
    <w:rsid w:val="6A0E5554"/>
    <w:rsid w:val="6A16B975"/>
    <w:rsid w:val="6A26FC3B"/>
    <w:rsid w:val="6A2E1C18"/>
    <w:rsid w:val="6A40C8BB"/>
    <w:rsid w:val="6A439945"/>
    <w:rsid w:val="6A45979C"/>
    <w:rsid w:val="6A4A3BFB"/>
    <w:rsid w:val="6A4B970F"/>
    <w:rsid w:val="6A50B572"/>
    <w:rsid w:val="6A557295"/>
    <w:rsid w:val="6A5647FC"/>
    <w:rsid w:val="6A5668BF"/>
    <w:rsid w:val="6A5BBA76"/>
    <w:rsid w:val="6A668EC4"/>
    <w:rsid w:val="6A78F445"/>
    <w:rsid w:val="6A7BAF09"/>
    <w:rsid w:val="6A90C681"/>
    <w:rsid w:val="6A94B6A3"/>
    <w:rsid w:val="6A954ACA"/>
    <w:rsid w:val="6AA12BCA"/>
    <w:rsid w:val="6AAFF3D2"/>
    <w:rsid w:val="6AC1AA2D"/>
    <w:rsid w:val="6AC4DB68"/>
    <w:rsid w:val="6AC9A53A"/>
    <w:rsid w:val="6AD56820"/>
    <w:rsid w:val="6AD6D747"/>
    <w:rsid w:val="6AD74B75"/>
    <w:rsid w:val="6AE44814"/>
    <w:rsid w:val="6AE97E88"/>
    <w:rsid w:val="6AF34244"/>
    <w:rsid w:val="6B0EF592"/>
    <w:rsid w:val="6B13E4A7"/>
    <w:rsid w:val="6B14F19C"/>
    <w:rsid w:val="6B259C08"/>
    <w:rsid w:val="6B2777FC"/>
    <w:rsid w:val="6B2D4D6D"/>
    <w:rsid w:val="6B2DF0F3"/>
    <w:rsid w:val="6B2DFFF0"/>
    <w:rsid w:val="6B30AF38"/>
    <w:rsid w:val="6B32B9E3"/>
    <w:rsid w:val="6B489728"/>
    <w:rsid w:val="6B5AC028"/>
    <w:rsid w:val="6B5D6117"/>
    <w:rsid w:val="6B5DDF67"/>
    <w:rsid w:val="6B65A016"/>
    <w:rsid w:val="6B6C09EC"/>
    <w:rsid w:val="6B7179AD"/>
    <w:rsid w:val="6B725ED1"/>
    <w:rsid w:val="6B770582"/>
    <w:rsid w:val="6B7E3E64"/>
    <w:rsid w:val="6BA1FB5A"/>
    <w:rsid w:val="6BA28801"/>
    <w:rsid w:val="6BA31FFF"/>
    <w:rsid w:val="6BA758D8"/>
    <w:rsid w:val="6BA911DB"/>
    <w:rsid w:val="6BAA2A89"/>
    <w:rsid w:val="6BAE8359"/>
    <w:rsid w:val="6BB34D50"/>
    <w:rsid w:val="6BBEBDBE"/>
    <w:rsid w:val="6BD1524D"/>
    <w:rsid w:val="6BD18690"/>
    <w:rsid w:val="6BDBB5B1"/>
    <w:rsid w:val="6BDC4ED1"/>
    <w:rsid w:val="6BE32F1A"/>
    <w:rsid w:val="6BF402FA"/>
    <w:rsid w:val="6BFBB786"/>
    <w:rsid w:val="6C03B48A"/>
    <w:rsid w:val="6C084044"/>
    <w:rsid w:val="6C08BB9C"/>
    <w:rsid w:val="6C1EAA90"/>
    <w:rsid w:val="6C2E42A9"/>
    <w:rsid w:val="6C3BADDC"/>
    <w:rsid w:val="6C3CBA03"/>
    <w:rsid w:val="6C58E97E"/>
    <w:rsid w:val="6C590080"/>
    <w:rsid w:val="6C60403F"/>
    <w:rsid w:val="6C646A75"/>
    <w:rsid w:val="6C6628B6"/>
    <w:rsid w:val="6C69770E"/>
    <w:rsid w:val="6C6EC9A2"/>
    <w:rsid w:val="6C724562"/>
    <w:rsid w:val="6C7722A3"/>
    <w:rsid w:val="6C77C0FF"/>
    <w:rsid w:val="6C82D55A"/>
    <w:rsid w:val="6C8501F3"/>
    <w:rsid w:val="6C877480"/>
    <w:rsid w:val="6C8B14C2"/>
    <w:rsid w:val="6C9176EC"/>
    <w:rsid w:val="6C93BBC4"/>
    <w:rsid w:val="6C98DBF4"/>
    <w:rsid w:val="6C9CFBF5"/>
    <w:rsid w:val="6C9D1218"/>
    <w:rsid w:val="6CA4A53A"/>
    <w:rsid w:val="6CA4C83E"/>
    <w:rsid w:val="6CAF96C6"/>
    <w:rsid w:val="6CB08BDC"/>
    <w:rsid w:val="6CB55583"/>
    <w:rsid w:val="6CBD4094"/>
    <w:rsid w:val="6CC821A0"/>
    <w:rsid w:val="6CCB2664"/>
    <w:rsid w:val="6CD0DF75"/>
    <w:rsid w:val="6CDC47A3"/>
    <w:rsid w:val="6CE0DE7F"/>
    <w:rsid w:val="6CE5DB50"/>
    <w:rsid w:val="6CE71250"/>
    <w:rsid w:val="6CE7A9F2"/>
    <w:rsid w:val="6CEE9C79"/>
    <w:rsid w:val="6CFB1A67"/>
    <w:rsid w:val="6D03A9D8"/>
    <w:rsid w:val="6D0D4A0E"/>
    <w:rsid w:val="6D10712A"/>
    <w:rsid w:val="6D16AFDD"/>
    <w:rsid w:val="6D1EF4EE"/>
    <w:rsid w:val="6D29779A"/>
    <w:rsid w:val="6D300B45"/>
    <w:rsid w:val="6D3070E3"/>
    <w:rsid w:val="6D32ED4F"/>
    <w:rsid w:val="6D489E82"/>
    <w:rsid w:val="6D57EAD2"/>
    <w:rsid w:val="6D5C1EE2"/>
    <w:rsid w:val="6D5D699B"/>
    <w:rsid w:val="6D62F092"/>
    <w:rsid w:val="6D7DE4E7"/>
    <w:rsid w:val="6D81A53A"/>
    <w:rsid w:val="6D855C32"/>
    <w:rsid w:val="6D96B14C"/>
    <w:rsid w:val="6D97432A"/>
    <w:rsid w:val="6D9F84EB"/>
    <w:rsid w:val="6DB525FD"/>
    <w:rsid w:val="6DB55412"/>
    <w:rsid w:val="6DB67FC2"/>
    <w:rsid w:val="6DB72714"/>
    <w:rsid w:val="6DBDD9BA"/>
    <w:rsid w:val="6DCC7CE6"/>
    <w:rsid w:val="6DD74AEA"/>
    <w:rsid w:val="6DDAD745"/>
    <w:rsid w:val="6DE75215"/>
    <w:rsid w:val="6DF15F17"/>
    <w:rsid w:val="6DF39828"/>
    <w:rsid w:val="6DF9CAA7"/>
    <w:rsid w:val="6E0CCC6F"/>
    <w:rsid w:val="6E0E579A"/>
    <w:rsid w:val="6E11A724"/>
    <w:rsid w:val="6E14A705"/>
    <w:rsid w:val="6E165B08"/>
    <w:rsid w:val="6E1663C8"/>
    <w:rsid w:val="6E16BB5F"/>
    <w:rsid w:val="6E182623"/>
    <w:rsid w:val="6E1ABF7E"/>
    <w:rsid w:val="6E1C6BFE"/>
    <w:rsid w:val="6E2BC23E"/>
    <w:rsid w:val="6E3076D8"/>
    <w:rsid w:val="6E33320B"/>
    <w:rsid w:val="6E39E128"/>
    <w:rsid w:val="6E3D8B2C"/>
    <w:rsid w:val="6E463CCD"/>
    <w:rsid w:val="6E4A5C21"/>
    <w:rsid w:val="6E5D3CCA"/>
    <w:rsid w:val="6E71DE88"/>
    <w:rsid w:val="6E82ADAD"/>
    <w:rsid w:val="6E93A09B"/>
    <w:rsid w:val="6E95E0C3"/>
    <w:rsid w:val="6E9A3C10"/>
    <w:rsid w:val="6EA4359E"/>
    <w:rsid w:val="6EA91A6F"/>
    <w:rsid w:val="6EAE9A3D"/>
    <w:rsid w:val="6EB5A70A"/>
    <w:rsid w:val="6EB9F0F6"/>
    <w:rsid w:val="6EBB2D3B"/>
    <w:rsid w:val="6EC6A810"/>
    <w:rsid w:val="6ECF1B00"/>
    <w:rsid w:val="6EDE51BA"/>
    <w:rsid w:val="6EE33464"/>
    <w:rsid w:val="6EE7D790"/>
    <w:rsid w:val="6EF8FB20"/>
    <w:rsid w:val="6EFCE255"/>
    <w:rsid w:val="6EFF292D"/>
    <w:rsid w:val="6F0653C2"/>
    <w:rsid w:val="6F06AB73"/>
    <w:rsid w:val="6F08C7CA"/>
    <w:rsid w:val="6F11C7C2"/>
    <w:rsid w:val="6F157555"/>
    <w:rsid w:val="6F1A4A06"/>
    <w:rsid w:val="6F2C2E5D"/>
    <w:rsid w:val="6F338DFC"/>
    <w:rsid w:val="6F342700"/>
    <w:rsid w:val="6F3787E9"/>
    <w:rsid w:val="6F37AF78"/>
    <w:rsid w:val="6F3A67CE"/>
    <w:rsid w:val="6F3B0823"/>
    <w:rsid w:val="6F3D22F5"/>
    <w:rsid w:val="6F4A07AE"/>
    <w:rsid w:val="6F544DA3"/>
    <w:rsid w:val="6F56FBC3"/>
    <w:rsid w:val="6F5CB468"/>
    <w:rsid w:val="6F61751D"/>
    <w:rsid w:val="6F649C61"/>
    <w:rsid w:val="6F664E2A"/>
    <w:rsid w:val="6F7FDEA8"/>
    <w:rsid w:val="6F85AB08"/>
    <w:rsid w:val="6F937E96"/>
    <w:rsid w:val="6F951B50"/>
    <w:rsid w:val="6F9EA7ED"/>
    <w:rsid w:val="6FA0A7C3"/>
    <w:rsid w:val="6FA8423B"/>
    <w:rsid w:val="6FA9ED84"/>
    <w:rsid w:val="6FAD581B"/>
    <w:rsid w:val="6FC3D75B"/>
    <w:rsid w:val="6FCC730A"/>
    <w:rsid w:val="6FCD0038"/>
    <w:rsid w:val="6FD4432E"/>
    <w:rsid w:val="6FDE7283"/>
    <w:rsid w:val="6FE0274D"/>
    <w:rsid w:val="6FE31979"/>
    <w:rsid w:val="6FE4FB93"/>
    <w:rsid w:val="6FED1DE9"/>
    <w:rsid w:val="6FF280E0"/>
    <w:rsid w:val="6FFE42C2"/>
    <w:rsid w:val="70094E17"/>
    <w:rsid w:val="700C34DE"/>
    <w:rsid w:val="7013BBA3"/>
    <w:rsid w:val="701D7C12"/>
    <w:rsid w:val="701EB312"/>
    <w:rsid w:val="7020568D"/>
    <w:rsid w:val="7025F673"/>
    <w:rsid w:val="70293967"/>
    <w:rsid w:val="7034739B"/>
    <w:rsid w:val="7037A55E"/>
    <w:rsid w:val="703A1AE2"/>
    <w:rsid w:val="703AE430"/>
    <w:rsid w:val="7044D8C2"/>
    <w:rsid w:val="704689E2"/>
    <w:rsid w:val="7060FB71"/>
    <w:rsid w:val="706E17B7"/>
    <w:rsid w:val="70752014"/>
    <w:rsid w:val="70762EAA"/>
    <w:rsid w:val="70766ECA"/>
    <w:rsid w:val="707CF57A"/>
    <w:rsid w:val="7082F565"/>
    <w:rsid w:val="708C2489"/>
    <w:rsid w:val="708C68DF"/>
    <w:rsid w:val="708CC5FF"/>
    <w:rsid w:val="70998CEF"/>
    <w:rsid w:val="70A0E905"/>
    <w:rsid w:val="70B283EA"/>
    <w:rsid w:val="70B4BEE3"/>
    <w:rsid w:val="70B507B0"/>
    <w:rsid w:val="70C94165"/>
    <w:rsid w:val="70D2E980"/>
    <w:rsid w:val="70F57AF9"/>
    <w:rsid w:val="70FF94EA"/>
    <w:rsid w:val="7106E4A5"/>
    <w:rsid w:val="7109AD7F"/>
    <w:rsid w:val="710A1F7D"/>
    <w:rsid w:val="71133244"/>
    <w:rsid w:val="7134AA33"/>
    <w:rsid w:val="7144129C"/>
    <w:rsid w:val="71446D31"/>
    <w:rsid w:val="7147E648"/>
    <w:rsid w:val="7153129D"/>
    <w:rsid w:val="715A944C"/>
    <w:rsid w:val="71694C7E"/>
    <w:rsid w:val="7169C857"/>
    <w:rsid w:val="716F192E"/>
    <w:rsid w:val="717A3434"/>
    <w:rsid w:val="717E6802"/>
    <w:rsid w:val="718262E0"/>
    <w:rsid w:val="718C23FA"/>
    <w:rsid w:val="718CE845"/>
    <w:rsid w:val="718F14B0"/>
    <w:rsid w:val="7190F9D9"/>
    <w:rsid w:val="7191CC89"/>
    <w:rsid w:val="719372E5"/>
    <w:rsid w:val="7195372E"/>
    <w:rsid w:val="719EC2CA"/>
    <w:rsid w:val="71A45098"/>
    <w:rsid w:val="71A6BEC5"/>
    <w:rsid w:val="71A9CD7D"/>
    <w:rsid w:val="71AF8C04"/>
    <w:rsid w:val="71AFF73C"/>
    <w:rsid w:val="71B0AD06"/>
    <w:rsid w:val="71BA47DF"/>
    <w:rsid w:val="71C9933B"/>
    <w:rsid w:val="71CB4FA4"/>
    <w:rsid w:val="71D19F69"/>
    <w:rsid w:val="71DF1E09"/>
    <w:rsid w:val="71E3D066"/>
    <w:rsid w:val="71E42B56"/>
    <w:rsid w:val="71EB419D"/>
    <w:rsid w:val="71EE3A2D"/>
    <w:rsid w:val="71F46AAE"/>
    <w:rsid w:val="72010C9F"/>
    <w:rsid w:val="7207DC64"/>
    <w:rsid w:val="720C8D03"/>
    <w:rsid w:val="7214707D"/>
    <w:rsid w:val="7214D546"/>
    <w:rsid w:val="72173BCE"/>
    <w:rsid w:val="7219DFFC"/>
    <w:rsid w:val="721CF901"/>
    <w:rsid w:val="72238BE0"/>
    <w:rsid w:val="722B3ABB"/>
    <w:rsid w:val="723BED78"/>
    <w:rsid w:val="724148AC"/>
    <w:rsid w:val="724333D6"/>
    <w:rsid w:val="724561A4"/>
    <w:rsid w:val="724DD96F"/>
    <w:rsid w:val="72508912"/>
    <w:rsid w:val="7250A5AA"/>
    <w:rsid w:val="72572D91"/>
    <w:rsid w:val="725C968E"/>
    <w:rsid w:val="726787DB"/>
    <w:rsid w:val="727F5A72"/>
    <w:rsid w:val="72835D77"/>
    <w:rsid w:val="728A7C73"/>
    <w:rsid w:val="728B15FC"/>
    <w:rsid w:val="728FE639"/>
    <w:rsid w:val="72956DC3"/>
    <w:rsid w:val="72A5A55C"/>
    <w:rsid w:val="72A901A5"/>
    <w:rsid w:val="72AABC0D"/>
    <w:rsid w:val="72B2C082"/>
    <w:rsid w:val="72BC01E0"/>
    <w:rsid w:val="72D26B8F"/>
    <w:rsid w:val="72D3A147"/>
    <w:rsid w:val="72D54A3D"/>
    <w:rsid w:val="72D8BC43"/>
    <w:rsid w:val="72D989A4"/>
    <w:rsid w:val="72DFE2FD"/>
    <w:rsid w:val="72E4F8DD"/>
    <w:rsid w:val="72EC5FFE"/>
    <w:rsid w:val="7307419D"/>
    <w:rsid w:val="730BC24B"/>
    <w:rsid w:val="73148287"/>
    <w:rsid w:val="7318C013"/>
    <w:rsid w:val="7329C2FF"/>
    <w:rsid w:val="7330DE60"/>
    <w:rsid w:val="73357EA1"/>
    <w:rsid w:val="733A932B"/>
    <w:rsid w:val="733BF477"/>
    <w:rsid w:val="733F3B21"/>
    <w:rsid w:val="73447B1A"/>
    <w:rsid w:val="735081CE"/>
    <w:rsid w:val="735A3719"/>
    <w:rsid w:val="737E687C"/>
    <w:rsid w:val="73884B40"/>
    <w:rsid w:val="738AED7C"/>
    <w:rsid w:val="7390604A"/>
    <w:rsid w:val="739C895B"/>
    <w:rsid w:val="739F10F8"/>
    <w:rsid w:val="73AD242B"/>
    <w:rsid w:val="73B4963C"/>
    <w:rsid w:val="73BD1A42"/>
    <w:rsid w:val="73CAD290"/>
    <w:rsid w:val="73CAD9FD"/>
    <w:rsid w:val="73D7BDD9"/>
    <w:rsid w:val="73D93B6B"/>
    <w:rsid w:val="73E451B8"/>
    <w:rsid w:val="73ED266B"/>
    <w:rsid w:val="73F67946"/>
    <w:rsid w:val="73F819F9"/>
    <w:rsid w:val="73F9B90D"/>
    <w:rsid w:val="740004CC"/>
    <w:rsid w:val="74012651"/>
    <w:rsid w:val="740A1EF7"/>
    <w:rsid w:val="740A89D1"/>
    <w:rsid w:val="7419DBB2"/>
    <w:rsid w:val="741C1B94"/>
    <w:rsid w:val="7425641B"/>
    <w:rsid w:val="7427F0E2"/>
    <w:rsid w:val="742E40B9"/>
    <w:rsid w:val="742F5C43"/>
    <w:rsid w:val="743C22E6"/>
    <w:rsid w:val="74404272"/>
    <w:rsid w:val="744E90E3"/>
    <w:rsid w:val="745CF462"/>
    <w:rsid w:val="746320F8"/>
    <w:rsid w:val="74699726"/>
    <w:rsid w:val="746C67BF"/>
    <w:rsid w:val="746D0394"/>
    <w:rsid w:val="746E8566"/>
    <w:rsid w:val="7477E1ED"/>
    <w:rsid w:val="747AA749"/>
    <w:rsid w:val="747DB98D"/>
    <w:rsid w:val="748BD60F"/>
    <w:rsid w:val="748E0806"/>
    <w:rsid w:val="748F6376"/>
    <w:rsid w:val="74A4DEFF"/>
    <w:rsid w:val="74AC4FCF"/>
    <w:rsid w:val="74ADCF1B"/>
    <w:rsid w:val="74BC5E2D"/>
    <w:rsid w:val="74C0BB09"/>
    <w:rsid w:val="74C64885"/>
    <w:rsid w:val="74CA8D54"/>
    <w:rsid w:val="74D01D79"/>
    <w:rsid w:val="74D16A45"/>
    <w:rsid w:val="74DD5A49"/>
    <w:rsid w:val="74E3E694"/>
    <w:rsid w:val="74E50AFA"/>
    <w:rsid w:val="74E72CC6"/>
    <w:rsid w:val="74EB442F"/>
    <w:rsid w:val="74EC212E"/>
    <w:rsid w:val="74F79884"/>
    <w:rsid w:val="74FD19C3"/>
    <w:rsid w:val="750133FD"/>
    <w:rsid w:val="75085157"/>
    <w:rsid w:val="750B02D7"/>
    <w:rsid w:val="750E5553"/>
    <w:rsid w:val="751849E5"/>
    <w:rsid w:val="751AECFD"/>
    <w:rsid w:val="751BB5F9"/>
    <w:rsid w:val="751C6F23"/>
    <w:rsid w:val="75271B49"/>
    <w:rsid w:val="752D16C6"/>
    <w:rsid w:val="75337A17"/>
    <w:rsid w:val="75382F70"/>
    <w:rsid w:val="7546546A"/>
    <w:rsid w:val="754A0245"/>
    <w:rsid w:val="75679367"/>
    <w:rsid w:val="75715C11"/>
    <w:rsid w:val="75820C7E"/>
    <w:rsid w:val="7590D3D9"/>
    <w:rsid w:val="75960E2B"/>
    <w:rsid w:val="7596FC9D"/>
    <w:rsid w:val="759C6C3C"/>
    <w:rsid w:val="759F1F1F"/>
    <w:rsid w:val="75A0E829"/>
    <w:rsid w:val="75A7FA45"/>
    <w:rsid w:val="75B5C0FC"/>
    <w:rsid w:val="75B83D2B"/>
    <w:rsid w:val="75BDC536"/>
    <w:rsid w:val="75BF02BA"/>
    <w:rsid w:val="75C2267E"/>
    <w:rsid w:val="75C4CA61"/>
    <w:rsid w:val="75D40D6D"/>
    <w:rsid w:val="75D8A427"/>
    <w:rsid w:val="75E4CAE8"/>
    <w:rsid w:val="75E565C5"/>
    <w:rsid w:val="75E5E2FE"/>
    <w:rsid w:val="75EE397F"/>
    <w:rsid w:val="75F11BA4"/>
    <w:rsid w:val="75FB8A71"/>
    <w:rsid w:val="75FD3848"/>
    <w:rsid w:val="760EB7CC"/>
    <w:rsid w:val="760EEDAB"/>
    <w:rsid w:val="76128662"/>
    <w:rsid w:val="7617E668"/>
    <w:rsid w:val="76203610"/>
    <w:rsid w:val="764A4370"/>
    <w:rsid w:val="76543B9B"/>
    <w:rsid w:val="7654ABA8"/>
    <w:rsid w:val="765546CB"/>
    <w:rsid w:val="76561AA4"/>
    <w:rsid w:val="765B617B"/>
    <w:rsid w:val="766BD798"/>
    <w:rsid w:val="76721829"/>
    <w:rsid w:val="76739539"/>
    <w:rsid w:val="7673DC9F"/>
    <w:rsid w:val="7689A3EC"/>
    <w:rsid w:val="768CDE59"/>
    <w:rsid w:val="7693A670"/>
    <w:rsid w:val="769B435D"/>
    <w:rsid w:val="76A0813C"/>
    <w:rsid w:val="76ADF2AC"/>
    <w:rsid w:val="76B41A46"/>
    <w:rsid w:val="76CBF99F"/>
    <w:rsid w:val="76CD42A3"/>
    <w:rsid w:val="76D04965"/>
    <w:rsid w:val="76DD48FF"/>
    <w:rsid w:val="76E626ED"/>
    <w:rsid w:val="76EA578D"/>
    <w:rsid w:val="76EAAB4A"/>
    <w:rsid w:val="76EF5B72"/>
    <w:rsid w:val="76EFAC07"/>
    <w:rsid w:val="76F65076"/>
    <w:rsid w:val="76F9E9D5"/>
    <w:rsid w:val="76FD6EFA"/>
    <w:rsid w:val="770120AC"/>
    <w:rsid w:val="7710909A"/>
    <w:rsid w:val="77146A43"/>
    <w:rsid w:val="7718E7B4"/>
    <w:rsid w:val="7719E18E"/>
    <w:rsid w:val="7728716D"/>
    <w:rsid w:val="772AD2DE"/>
    <w:rsid w:val="7730A52F"/>
    <w:rsid w:val="7733C60A"/>
    <w:rsid w:val="7737859F"/>
    <w:rsid w:val="773E9357"/>
    <w:rsid w:val="774A02D4"/>
    <w:rsid w:val="774A2E47"/>
    <w:rsid w:val="775A6CF8"/>
    <w:rsid w:val="775C59CE"/>
    <w:rsid w:val="775DED96"/>
    <w:rsid w:val="7762C6D9"/>
    <w:rsid w:val="776DA015"/>
    <w:rsid w:val="77768EA4"/>
    <w:rsid w:val="77878A26"/>
    <w:rsid w:val="7788B746"/>
    <w:rsid w:val="778E4775"/>
    <w:rsid w:val="779601F8"/>
    <w:rsid w:val="77AB2D36"/>
    <w:rsid w:val="77BE0D5A"/>
    <w:rsid w:val="77C34050"/>
    <w:rsid w:val="77C376D1"/>
    <w:rsid w:val="77C5818A"/>
    <w:rsid w:val="77CEE6CB"/>
    <w:rsid w:val="77D61EAE"/>
    <w:rsid w:val="77D8FD9B"/>
    <w:rsid w:val="77DE66A8"/>
    <w:rsid w:val="77DF336E"/>
    <w:rsid w:val="77EC3136"/>
    <w:rsid w:val="77EEF145"/>
    <w:rsid w:val="77F42F49"/>
    <w:rsid w:val="77F81949"/>
    <w:rsid w:val="77F9E5EA"/>
    <w:rsid w:val="77FA3C62"/>
    <w:rsid w:val="7805B144"/>
    <w:rsid w:val="78126E97"/>
    <w:rsid w:val="7818CC64"/>
    <w:rsid w:val="781D82DE"/>
    <w:rsid w:val="7824F962"/>
    <w:rsid w:val="7833D3FB"/>
    <w:rsid w:val="783EDF72"/>
    <w:rsid w:val="7842B9E7"/>
    <w:rsid w:val="78448D8C"/>
    <w:rsid w:val="78481782"/>
    <w:rsid w:val="7848401F"/>
    <w:rsid w:val="784E8E00"/>
    <w:rsid w:val="78559F57"/>
    <w:rsid w:val="786DD2A5"/>
    <w:rsid w:val="786F8B72"/>
    <w:rsid w:val="7870BFB0"/>
    <w:rsid w:val="7876A40E"/>
    <w:rsid w:val="7877D205"/>
    <w:rsid w:val="7893CE58"/>
    <w:rsid w:val="789EF9FC"/>
    <w:rsid w:val="78A6FA49"/>
    <w:rsid w:val="78B71F76"/>
    <w:rsid w:val="78B9E2AD"/>
    <w:rsid w:val="78C97424"/>
    <w:rsid w:val="78CA7481"/>
    <w:rsid w:val="78CB824A"/>
    <w:rsid w:val="78CD6324"/>
    <w:rsid w:val="78CE33B5"/>
    <w:rsid w:val="78DDA573"/>
    <w:rsid w:val="78E00099"/>
    <w:rsid w:val="78E2D476"/>
    <w:rsid w:val="78EBFE0C"/>
    <w:rsid w:val="78F527BB"/>
    <w:rsid w:val="78FEABBC"/>
    <w:rsid w:val="78FF717E"/>
    <w:rsid w:val="7902DE90"/>
    <w:rsid w:val="790A8E5C"/>
    <w:rsid w:val="790D43A5"/>
    <w:rsid w:val="790F4A49"/>
    <w:rsid w:val="790F7452"/>
    <w:rsid w:val="7919D783"/>
    <w:rsid w:val="79298A1F"/>
    <w:rsid w:val="79329043"/>
    <w:rsid w:val="7933AB69"/>
    <w:rsid w:val="793411BE"/>
    <w:rsid w:val="793DDEDD"/>
    <w:rsid w:val="793F6D2C"/>
    <w:rsid w:val="7946A7EC"/>
    <w:rsid w:val="794AEB2F"/>
    <w:rsid w:val="79562665"/>
    <w:rsid w:val="7959166F"/>
    <w:rsid w:val="795BA182"/>
    <w:rsid w:val="795BDBC4"/>
    <w:rsid w:val="79649B10"/>
    <w:rsid w:val="7965D2F4"/>
    <w:rsid w:val="796BC7F1"/>
    <w:rsid w:val="7971C5C9"/>
    <w:rsid w:val="797635E6"/>
    <w:rsid w:val="7984BCF7"/>
    <w:rsid w:val="798685A7"/>
    <w:rsid w:val="7986D312"/>
    <w:rsid w:val="798EC02D"/>
    <w:rsid w:val="798EEA6D"/>
    <w:rsid w:val="7990EFAF"/>
    <w:rsid w:val="7992E37A"/>
    <w:rsid w:val="7994F2AF"/>
    <w:rsid w:val="79982B27"/>
    <w:rsid w:val="799F7E84"/>
    <w:rsid w:val="79B2D4EC"/>
    <w:rsid w:val="79B55434"/>
    <w:rsid w:val="79B58BF9"/>
    <w:rsid w:val="79C85A67"/>
    <w:rsid w:val="79D4ED21"/>
    <w:rsid w:val="79EAE110"/>
    <w:rsid w:val="7A0B2230"/>
    <w:rsid w:val="7A0C061C"/>
    <w:rsid w:val="7A125194"/>
    <w:rsid w:val="7A1937F1"/>
    <w:rsid w:val="7A206EC9"/>
    <w:rsid w:val="7A20EB2D"/>
    <w:rsid w:val="7A220872"/>
    <w:rsid w:val="7A22271A"/>
    <w:rsid w:val="7A2E5B73"/>
    <w:rsid w:val="7A3673E8"/>
    <w:rsid w:val="7A3929A6"/>
    <w:rsid w:val="7A433D1A"/>
    <w:rsid w:val="7A4565BB"/>
    <w:rsid w:val="7A47FD54"/>
    <w:rsid w:val="7A4FEA65"/>
    <w:rsid w:val="7A57D025"/>
    <w:rsid w:val="7A6F4650"/>
    <w:rsid w:val="7A7F2280"/>
    <w:rsid w:val="7A813A7F"/>
    <w:rsid w:val="7A8141DC"/>
    <w:rsid w:val="7A822678"/>
    <w:rsid w:val="7A83B5E8"/>
    <w:rsid w:val="7A95B4D8"/>
    <w:rsid w:val="7A9B465A"/>
    <w:rsid w:val="7AA02580"/>
    <w:rsid w:val="7AB7E030"/>
    <w:rsid w:val="7ABCFAA1"/>
    <w:rsid w:val="7ACADE8D"/>
    <w:rsid w:val="7AD651D3"/>
    <w:rsid w:val="7AD6CAD7"/>
    <w:rsid w:val="7ADAC148"/>
    <w:rsid w:val="7ADBB5B3"/>
    <w:rsid w:val="7AEB4F77"/>
    <w:rsid w:val="7AEBDF90"/>
    <w:rsid w:val="7AEFC69B"/>
    <w:rsid w:val="7AF4A7C7"/>
    <w:rsid w:val="7AFD204A"/>
    <w:rsid w:val="7B01DE37"/>
    <w:rsid w:val="7B058A37"/>
    <w:rsid w:val="7B0948D5"/>
    <w:rsid w:val="7B0DF241"/>
    <w:rsid w:val="7B1B1FEA"/>
    <w:rsid w:val="7B2467CF"/>
    <w:rsid w:val="7B359BD1"/>
    <w:rsid w:val="7B3AFA5B"/>
    <w:rsid w:val="7B49B183"/>
    <w:rsid w:val="7B4F001A"/>
    <w:rsid w:val="7B60148D"/>
    <w:rsid w:val="7B6B4B1E"/>
    <w:rsid w:val="7B6D1FCB"/>
    <w:rsid w:val="7B73B9E8"/>
    <w:rsid w:val="7B7AD9BF"/>
    <w:rsid w:val="7B7D9DAE"/>
    <w:rsid w:val="7B811BB3"/>
    <w:rsid w:val="7B8A5E87"/>
    <w:rsid w:val="7B8D273B"/>
    <w:rsid w:val="7B951C73"/>
    <w:rsid w:val="7B97191A"/>
    <w:rsid w:val="7BA3AE18"/>
    <w:rsid w:val="7BAAEA81"/>
    <w:rsid w:val="7BAB9B9E"/>
    <w:rsid w:val="7BAE21F5"/>
    <w:rsid w:val="7BB283A1"/>
    <w:rsid w:val="7BC72F2A"/>
    <w:rsid w:val="7BC80DBF"/>
    <w:rsid w:val="7BD1AB69"/>
    <w:rsid w:val="7BD20535"/>
    <w:rsid w:val="7BE3CDB5"/>
    <w:rsid w:val="7BE3FDB3"/>
    <w:rsid w:val="7BEBEB39"/>
    <w:rsid w:val="7BEDC92F"/>
    <w:rsid w:val="7C1501B2"/>
    <w:rsid w:val="7C173BA8"/>
    <w:rsid w:val="7C193A01"/>
    <w:rsid w:val="7C1A7538"/>
    <w:rsid w:val="7C396803"/>
    <w:rsid w:val="7C3D3F6D"/>
    <w:rsid w:val="7C41A8EC"/>
    <w:rsid w:val="7C449EB6"/>
    <w:rsid w:val="7C479839"/>
    <w:rsid w:val="7C4D0389"/>
    <w:rsid w:val="7C502F83"/>
    <w:rsid w:val="7C5C1A4C"/>
    <w:rsid w:val="7C604713"/>
    <w:rsid w:val="7C646DCD"/>
    <w:rsid w:val="7C64F81D"/>
    <w:rsid w:val="7C6A9F83"/>
    <w:rsid w:val="7C70EA52"/>
    <w:rsid w:val="7C7159CA"/>
    <w:rsid w:val="7C734165"/>
    <w:rsid w:val="7C80D57D"/>
    <w:rsid w:val="7C924837"/>
    <w:rsid w:val="7CA368B3"/>
    <w:rsid w:val="7CA87E99"/>
    <w:rsid w:val="7CABD449"/>
    <w:rsid w:val="7CB243C4"/>
    <w:rsid w:val="7CBE19B6"/>
    <w:rsid w:val="7CDE0642"/>
    <w:rsid w:val="7CDF7DB9"/>
    <w:rsid w:val="7CE587AB"/>
    <w:rsid w:val="7CEEEB93"/>
    <w:rsid w:val="7CF01D1A"/>
    <w:rsid w:val="7CF93891"/>
    <w:rsid w:val="7D01C723"/>
    <w:rsid w:val="7D220731"/>
    <w:rsid w:val="7D235BCA"/>
    <w:rsid w:val="7D28B8B9"/>
    <w:rsid w:val="7D2936B1"/>
    <w:rsid w:val="7D42BB73"/>
    <w:rsid w:val="7D4628E8"/>
    <w:rsid w:val="7D494B2A"/>
    <w:rsid w:val="7D5363A7"/>
    <w:rsid w:val="7D54201B"/>
    <w:rsid w:val="7D58FC2F"/>
    <w:rsid w:val="7D5E763E"/>
    <w:rsid w:val="7D5FC48D"/>
    <w:rsid w:val="7D698F9D"/>
    <w:rsid w:val="7D747EAD"/>
    <w:rsid w:val="7D7D3FF0"/>
    <w:rsid w:val="7D7EA3B6"/>
    <w:rsid w:val="7D7FCE14"/>
    <w:rsid w:val="7D8253FB"/>
    <w:rsid w:val="7D893D7F"/>
    <w:rsid w:val="7D994B57"/>
    <w:rsid w:val="7D9B20AF"/>
    <w:rsid w:val="7DA89ADF"/>
    <w:rsid w:val="7DAFFD32"/>
    <w:rsid w:val="7DB30C09"/>
    <w:rsid w:val="7DB46EA7"/>
    <w:rsid w:val="7DB60644"/>
    <w:rsid w:val="7DBA2F2D"/>
    <w:rsid w:val="7DC5D853"/>
    <w:rsid w:val="7DC833C6"/>
    <w:rsid w:val="7DCA7701"/>
    <w:rsid w:val="7DCCBF7F"/>
    <w:rsid w:val="7DD61C4C"/>
    <w:rsid w:val="7DD8DF07"/>
    <w:rsid w:val="7DDA2030"/>
    <w:rsid w:val="7DF4C490"/>
    <w:rsid w:val="7DFA21A8"/>
    <w:rsid w:val="7E053CEB"/>
    <w:rsid w:val="7E078AC4"/>
    <w:rsid w:val="7E09C7DC"/>
    <w:rsid w:val="7E198FF8"/>
    <w:rsid w:val="7E23B216"/>
    <w:rsid w:val="7E28A6A1"/>
    <w:rsid w:val="7E2D48FD"/>
    <w:rsid w:val="7E35C604"/>
    <w:rsid w:val="7E41FE9A"/>
    <w:rsid w:val="7E459303"/>
    <w:rsid w:val="7E4CC0BC"/>
    <w:rsid w:val="7E590A42"/>
    <w:rsid w:val="7E59EA17"/>
    <w:rsid w:val="7E64331A"/>
    <w:rsid w:val="7E673C82"/>
    <w:rsid w:val="7E6A67B4"/>
    <w:rsid w:val="7E6C5382"/>
    <w:rsid w:val="7E756F59"/>
    <w:rsid w:val="7E8C45C0"/>
    <w:rsid w:val="7E9031C8"/>
    <w:rsid w:val="7E90D096"/>
    <w:rsid w:val="7E9239BD"/>
    <w:rsid w:val="7E9D3DCA"/>
    <w:rsid w:val="7EB86F6B"/>
    <w:rsid w:val="7EBAD16A"/>
    <w:rsid w:val="7EC0004D"/>
    <w:rsid w:val="7EC0FB56"/>
    <w:rsid w:val="7EC10DD1"/>
    <w:rsid w:val="7EC91718"/>
    <w:rsid w:val="7EC9AE37"/>
    <w:rsid w:val="7EC9C4A5"/>
    <w:rsid w:val="7ECC9FCE"/>
    <w:rsid w:val="7ED1D70B"/>
    <w:rsid w:val="7EDDB8D7"/>
    <w:rsid w:val="7EF32BB6"/>
    <w:rsid w:val="7EF37756"/>
    <w:rsid w:val="7EF673B4"/>
    <w:rsid w:val="7EF92929"/>
    <w:rsid w:val="7EFD7EE5"/>
    <w:rsid w:val="7EFF5E5F"/>
    <w:rsid w:val="7EFFF724"/>
    <w:rsid w:val="7F0CB37C"/>
    <w:rsid w:val="7F1B6E77"/>
    <w:rsid w:val="7F23EA6F"/>
    <w:rsid w:val="7F288A62"/>
    <w:rsid w:val="7F29576F"/>
    <w:rsid w:val="7F296E29"/>
    <w:rsid w:val="7F306C30"/>
    <w:rsid w:val="7F482170"/>
    <w:rsid w:val="7F4B830A"/>
    <w:rsid w:val="7F4F421D"/>
    <w:rsid w:val="7F51E5B7"/>
    <w:rsid w:val="7F53F7B6"/>
    <w:rsid w:val="7F5842C4"/>
    <w:rsid w:val="7F70DB16"/>
    <w:rsid w:val="7F726A11"/>
    <w:rsid w:val="7F77F2CC"/>
    <w:rsid w:val="7F7EA0E9"/>
    <w:rsid w:val="7F838F19"/>
    <w:rsid w:val="7F8D7718"/>
    <w:rsid w:val="7F902083"/>
    <w:rsid w:val="7F99D8CF"/>
    <w:rsid w:val="7F9DA226"/>
    <w:rsid w:val="7F9DEBFF"/>
    <w:rsid w:val="7FA41A8E"/>
    <w:rsid w:val="7FB96DD4"/>
    <w:rsid w:val="7FC3D7B3"/>
    <w:rsid w:val="7FC47BB4"/>
    <w:rsid w:val="7FCB76EB"/>
    <w:rsid w:val="7FCC5392"/>
    <w:rsid w:val="7FCDEED3"/>
    <w:rsid w:val="7FCF1E3D"/>
    <w:rsid w:val="7FDB7408"/>
    <w:rsid w:val="7FDC921B"/>
    <w:rsid w:val="7FDCDDE2"/>
    <w:rsid w:val="7FDF914B"/>
    <w:rsid w:val="7FDFFD4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170FC"/>
  <w15:chartTrackingRefBased/>
  <w15:docId w15:val="{F4469F61-0BFC-48D3-98AE-4B925E42A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0F11"/>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C55FD6"/>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1FCD"/>
    <w:pPr>
      <w:ind w:left="720"/>
      <w:contextualSpacing/>
    </w:pPr>
  </w:style>
  <w:style w:type="paragraph" w:styleId="NoSpacing">
    <w:name w:val="No Spacing"/>
    <w:basedOn w:val="Normal"/>
    <w:link w:val="NoSpacingChar"/>
    <w:uiPriority w:val="1"/>
    <w:qFormat/>
    <w:rsid w:val="007271D8"/>
    <w:pPr>
      <w:spacing w:after="0" w:line="240" w:lineRule="auto"/>
    </w:pPr>
    <w:rPr>
      <w:rFonts w:ascii="Calibri" w:hAnsi="Calibri" w:cs="Calibri"/>
    </w:rPr>
  </w:style>
  <w:style w:type="character" w:styleId="CommentReference">
    <w:name w:val="annotation reference"/>
    <w:basedOn w:val="DefaultParagraphFont"/>
    <w:uiPriority w:val="99"/>
    <w:semiHidden/>
    <w:unhideWhenUsed/>
    <w:rsid w:val="007271D8"/>
    <w:rPr>
      <w:sz w:val="16"/>
      <w:szCs w:val="16"/>
    </w:rPr>
  </w:style>
  <w:style w:type="paragraph" w:styleId="CommentText">
    <w:name w:val="annotation text"/>
    <w:basedOn w:val="Normal"/>
    <w:link w:val="CommentTextChar"/>
    <w:uiPriority w:val="99"/>
    <w:unhideWhenUsed/>
    <w:rsid w:val="007271D8"/>
    <w:pPr>
      <w:spacing w:line="240" w:lineRule="auto"/>
    </w:pPr>
    <w:rPr>
      <w:sz w:val="20"/>
      <w:szCs w:val="20"/>
    </w:rPr>
  </w:style>
  <w:style w:type="character" w:customStyle="1" w:styleId="CommentTextChar">
    <w:name w:val="Comment Text Char"/>
    <w:basedOn w:val="DefaultParagraphFont"/>
    <w:link w:val="CommentText"/>
    <w:uiPriority w:val="99"/>
    <w:rsid w:val="007271D8"/>
    <w:rPr>
      <w:sz w:val="20"/>
      <w:szCs w:val="20"/>
    </w:rPr>
  </w:style>
  <w:style w:type="paragraph" w:styleId="CommentSubject">
    <w:name w:val="annotation subject"/>
    <w:basedOn w:val="CommentText"/>
    <w:next w:val="CommentText"/>
    <w:link w:val="CommentSubjectChar"/>
    <w:uiPriority w:val="99"/>
    <w:semiHidden/>
    <w:unhideWhenUsed/>
    <w:rsid w:val="002F7954"/>
    <w:rPr>
      <w:b/>
      <w:bCs/>
    </w:rPr>
  </w:style>
  <w:style w:type="character" w:customStyle="1" w:styleId="CommentSubjectChar">
    <w:name w:val="Comment Subject Char"/>
    <w:basedOn w:val="CommentTextChar"/>
    <w:link w:val="CommentSubject"/>
    <w:uiPriority w:val="99"/>
    <w:semiHidden/>
    <w:rsid w:val="002F7954"/>
    <w:rPr>
      <w:b/>
      <w:bCs/>
      <w:sz w:val="20"/>
      <w:szCs w:val="20"/>
    </w:rPr>
  </w:style>
  <w:style w:type="character" w:customStyle="1" w:styleId="Mention1">
    <w:name w:val="Mention1"/>
    <w:basedOn w:val="DefaultParagraphFont"/>
    <w:uiPriority w:val="99"/>
    <w:unhideWhenUsed/>
    <w:rPr>
      <w:color w:val="2B579A"/>
      <w:shd w:val="clear" w:color="auto" w:fill="E6E6E6"/>
    </w:rPr>
  </w:style>
  <w:style w:type="character" w:styleId="FootnoteReference">
    <w:name w:val="footnote reference"/>
    <w:basedOn w:val="DefaultParagraphFont"/>
    <w:uiPriority w:val="99"/>
    <w:semiHidden/>
    <w:unhideWhenUsed/>
    <w:rPr>
      <w:vertAlign w:val="superscript"/>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Hyperlink">
    <w:name w:val="Hyperlink"/>
    <w:basedOn w:val="DefaultParagraphFont"/>
    <w:uiPriority w:val="99"/>
    <w:unhideWhenUsed/>
    <w:rPr>
      <w:color w:val="0563C1" w:themeColor="hyperlink"/>
      <w:u w:val="single"/>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character" w:customStyle="1" w:styleId="eop">
    <w:name w:val="eop"/>
    <w:basedOn w:val="DefaultParagraphFont"/>
    <w:rsid w:val="53766C39"/>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rsid w:val="00347E30"/>
    <w:pPr>
      <w:tabs>
        <w:tab w:val="right" w:leader="dot" w:pos="9016"/>
      </w:tabs>
      <w:spacing w:after="100"/>
      <w:ind w:left="220"/>
    </w:pPr>
  </w:style>
  <w:style w:type="paragraph" w:styleId="TOC3">
    <w:name w:val="toc 3"/>
    <w:basedOn w:val="Normal"/>
    <w:next w:val="Normal"/>
    <w:autoRedefine/>
    <w:uiPriority w:val="39"/>
    <w:unhideWhenUsed/>
    <w:rsid w:val="00347E30"/>
    <w:pPr>
      <w:tabs>
        <w:tab w:val="right" w:leader="dot" w:pos="9016"/>
      </w:tabs>
      <w:spacing w:after="100"/>
      <w:ind w:left="440"/>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F5496" w:themeColor="accent1" w:themeShade="BF"/>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TOC5">
    <w:name w:val="toc 5"/>
    <w:basedOn w:val="Normal"/>
    <w:next w:val="Normal"/>
    <w:autoRedefine/>
    <w:uiPriority w:val="39"/>
    <w:unhideWhenUsed/>
    <w:rsid w:val="00622D1B"/>
    <w:pPr>
      <w:spacing w:after="100"/>
      <w:ind w:left="880"/>
    </w:pPr>
  </w:style>
  <w:style w:type="character" w:customStyle="1" w:styleId="NoSpacingChar">
    <w:name w:val="No Spacing Char"/>
    <w:basedOn w:val="DefaultParagraphFont"/>
    <w:link w:val="NoSpacing"/>
    <w:uiPriority w:val="1"/>
    <w:rsid w:val="00A3399D"/>
    <w:rPr>
      <w:rFonts w:ascii="Calibri" w:hAnsi="Calibri" w:cs="Calibri"/>
    </w:rPr>
  </w:style>
  <w:style w:type="paragraph" w:styleId="TOCHeading">
    <w:name w:val="TOC Heading"/>
    <w:basedOn w:val="Heading1"/>
    <w:next w:val="Normal"/>
    <w:uiPriority w:val="39"/>
    <w:unhideWhenUsed/>
    <w:qFormat/>
    <w:rsid w:val="00A3399D"/>
    <w:pPr>
      <w:outlineLvl w:val="9"/>
    </w:pPr>
    <w:rPr>
      <w:lang w:val="en-US"/>
    </w:rPr>
  </w:style>
  <w:style w:type="character" w:customStyle="1" w:styleId="normaltextrun">
    <w:name w:val="normaltextrun"/>
    <w:basedOn w:val="DefaultParagraphFont"/>
    <w:rsid w:val="00185DFE"/>
  </w:style>
  <w:style w:type="paragraph" w:customStyle="1" w:styleId="xmsolistparagraph">
    <w:name w:val="x_msolistparagraph"/>
    <w:basedOn w:val="Normal"/>
    <w:rsid w:val="006052A8"/>
    <w:pPr>
      <w:spacing w:after="0" w:line="240" w:lineRule="auto"/>
      <w:ind w:left="720"/>
    </w:pPr>
    <w:rPr>
      <w:rFonts w:ascii="Calibri" w:hAnsi="Calibri" w:cs="Calibri"/>
      <w:lang w:eastAsia="en-GB"/>
    </w:rPr>
  </w:style>
  <w:style w:type="character" w:customStyle="1" w:styleId="UnresolvedMention1">
    <w:name w:val="Unresolved Mention1"/>
    <w:basedOn w:val="DefaultParagraphFont"/>
    <w:uiPriority w:val="99"/>
    <w:semiHidden/>
    <w:unhideWhenUsed/>
    <w:rsid w:val="00F04504"/>
    <w:rPr>
      <w:color w:val="605E5C"/>
      <w:shd w:val="clear" w:color="auto" w:fill="E1DFDD"/>
    </w:rPr>
  </w:style>
  <w:style w:type="paragraph" w:customStyle="1" w:styleId="paragraph">
    <w:name w:val="paragraph"/>
    <w:basedOn w:val="Normal"/>
    <w:rsid w:val="00F105F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347E30"/>
    <w:pPr>
      <w:spacing w:after="0" w:line="240" w:lineRule="auto"/>
    </w:pPr>
  </w:style>
  <w:style w:type="paragraph" w:styleId="BalloonText">
    <w:name w:val="Balloon Text"/>
    <w:basedOn w:val="Normal"/>
    <w:link w:val="BalloonTextChar"/>
    <w:uiPriority w:val="99"/>
    <w:semiHidden/>
    <w:unhideWhenUsed/>
    <w:rsid w:val="00EF21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2198"/>
    <w:rPr>
      <w:rFonts w:ascii="Segoe UI" w:hAnsi="Segoe UI" w:cs="Segoe UI"/>
      <w:sz w:val="18"/>
      <w:szCs w:val="18"/>
    </w:rPr>
  </w:style>
  <w:style w:type="character" w:styleId="UnresolvedMention">
    <w:name w:val="Unresolved Mention"/>
    <w:basedOn w:val="DefaultParagraphFont"/>
    <w:uiPriority w:val="99"/>
    <w:semiHidden/>
    <w:unhideWhenUsed/>
    <w:rsid w:val="00AC1A55"/>
    <w:rPr>
      <w:color w:val="605E5C"/>
      <w:shd w:val="clear" w:color="auto" w:fill="E1DFDD"/>
    </w:rPr>
  </w:style>
  <w:style w:type="character" w:customStyle="1" w:styleId="Heading4Char">
    <w:name w:val="Heading 4 Char"/>
    <w:basedOn w:val="DefaultParagraphFont"/>
    <w:link w:val="Heading4"/>
    <w:uiPriority w:val="9"/>
    <w:rsid w:val="00C55FD6"/>
    <w:rPr>
      <w:rFonts w:asciiTheme="majorHAnsi" w:eastAsiaTheme="majorEastAsia" w:hAnsiTheme="majorHAnsi" w:cstheme="majorBidi"/>
      <w:i/>
      <w:iCs/>
      <w:color w:val="2F5496" w:themeColor="accent1" w:themeShade="BF"/>
    </w:rPr>
  </w:style>
  <w:style w:type="paragraph" w:styleId="Subtitle">
    <w:name w:val="Subtitle"/>
    <w:basedOn w:val="Normal"/>
    <w:next w:val="Normal"/>
    <w:link w:val="SubtitleChar"/>
    <w:uiPriority w:val="11"/>
    <w:qFormat/>
    <w:rsid w:val="005316E6"/>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316E6"/>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09705">
      <w:bodyDiv w:val="1"/>
      <w:marLeft w:val="0"/>
      <w:marRight w:val="0"/>
      <w:marTop w:val="0"/>
      <w:marBottom w:val="0"/>
      <w:divBdr>
        <w:top w:val="none" w:sz="0" w:space="0" w:color="auto"/>
        <w:left w:val="none" w:sz="0" w:space="0" w:color="auto"/>
        <w:bottom w:val="none" w:sz="0" w:space="0" w:color="auto"/>
        <w:right w:val="none" w:sz="0" w:space="0" w:color="auto"/>
      </w:divBdr>
    </w:div>
    <w:div w:id="55319785">
      <w:bodyDiv w:val="1"/>
      <w:marLeft w:val="0"/>
      <w:marRight w:val="0"/>
      <w:marTop w:val="0"/>
      <w:marBottom w:val="0"/>
      <w:divBdr>
        <w:top w:val="none" w:sz="0" w:space="0" w:color="auto"/>
        <w:left w:val="none" w:sz="0" w:space="0" w:color="auto"/>
        <w:bottom w:val="none" w:sz="0" w:space="0" w:color="auto"/>
        <w:right w:val="none" w:sz="0" w:space="0" w:color="auto"/>
      </w:divBdr>
    </w:div>
    <w:div w:id="109514078">
      <w:bodyDiv w:val="1"/>
      <w:marLeft w:val="0"/>
      <w:marRight w:val="0"/>
      <w:marTop w:val="0"/>
      <w:marBottom w:val="0"/>
      <w:divBdr>
        <w:top w:val="none" w:sz="0" w:space="0" w:color="auto"/>
        <w:left w:val="none" w:sz="0" w:space="0" w:color="auto"/>
        <w:bottom w:val="none" w:sz="0" w:space="0" w:color="auto"/>
        <w:right w:val="none" w:sz="0" w:space="0" w:color="auto"/>
      </w:divBdr>
    </w:div>
    <w:div w:id="127479088">
      <w:bodyDiv w:val="1"/>
      <w:marLeft w:val="0"/>
      <w:marRight w:val="0"/>
      <w:marTop w:val="0"/>
      <w:marBottom w:val="0"/>
      <w:divBdr>
        <w:top w:val="none" w:sz="0" w:space="0" w:color="auto"/>
        <w:left w:val="none" w:sz="0" w:space="0" w:color="auto"/>
        <w:bottom w:val="none" w:sz="0" w:space="0" w:color="auto"/>
        <w:right w:val="none" w:sz="0" w:space="0" w:color="auto"/>
      </w:divBdr>
    </w:div>
    <w:div w:id="140273546">
      <w:bodyDiv w:val="1"/>
      <w:marLeft w:val="0"/>
      <w:marRight w:val="0"/>
      <w:marTop w:val="0"/>
      <w:marBottom w:val="0"/>
      <w:divBdr>
        <w:top w:val="none" w:sz="0" w:space="0" w:color="auto"/>
        <w:left w:val="none" w:sz="0" w:space="0" w:color="auto"/>
        <w:bottom w:val="none" w:sz="0" w:space="0" w:color="auto"/>
        <w:right w:val="none" w:sz="0" w:space="0" w:color="auto"/>
      </w:divBdr>
    </w:div>
    <w:div w:id="170721333">
      <w:bodyDiv w:val="1"/>
      <w:marLeft w:val="0"/>
      <w:marRight w:val="0"/>
      <w:marTop w:val="0"/>
      <w:marBottom w:val="0"/>
      <w:divBdr>
        <w:top w:val="none" w:sz="0" w:space="0" w:color="auto"/>
        <w:left w:val="none" w:sz="0" w:space="0" w:color="auto"/>
        <w:bottom w:val="none" w:sz="0" w:space="0" w:color="auto"/>
        <w:right w:val="none" w:sz="0" w:space="0" w:color="auto"/>
      </w:divBdr>
    </w:div>
    <w:div w:id="225917424">
      <w:bodyDiv w:val="1"/>
      <w:marLeft w:val="0"/>
      <w:marRight w:val="0"/>
      <w:marTop w:val="0"/>
      <w:marBottom w:val="0"/>
      <w:divBdr>
        <w:top w:val="none" w:sz="0" w:space="0" w:color="auto"/>
        <w:left w:val="none" w:sz="0" w:space="0" w:color="auto"/>
        <w:bottom w:val="none" w:sz="0" w:space="0" w:color="auto"/>
        <w:right w:val="none" w:sz="0" w:space="0" w:color="auto"/>
      </w:divBdr>
    </w:div>
    <w:div w:id="231161727">
      <w:bodyDiv w:val="1"/>
      <w:marLeft w:val="0"/>
      <w:marRight w:val="0"/>
      <w:marTop w:val="0"/>
      <w:marBottom w:val="0"/>
      <w:divBdr>
        <w:top w:val="none" w:sz="0" w:space="0" w:color="auto"/>
        <w:left w:val="none" w:sz="0" w:space="0" w:color="auto"/>
        <w:bottom w:val="none" w:sz="0" w:space="0" w:color="auto"/>
        <w:right w:val="none" w:sz="0" w:space="0" w:color="auto"/>
      </w:divBdr>
      <w:divsChild>
        <w:div w:id="1871605873">
          <w:marLeft w:val="0"/>
          <w:marRight w:val="0"/>
          <w:marTop w:val="0"/>
          <w:marBottom w:val="0"/>
          <w:divBdr>
            <w:top w:val="none" w:sz="0" w:space="0" w:color="auto"/>
            <w:left w:val="none" w:sz="0" w:space="0" w:color="auto"/>
            <w:bottom w:val="none" w:sz="0" w:space="0" w:color="auto"/>
            <w:right w:val="none" w:sz="0" w:space="0" w:color="auto"/>
          </w:divBdr>
        </w:div>
        <w:div w:id="1308391329">
          <w:marLeft w:val="0"/>
          <w:marRight w:val="0"/>
          <w:marTop w:val="0"/>
          <w:marBottom w:val="0"/>
          <w:divBdr>
            <w:top w:val="none" w:sz="0" w:space="0" w:color="auto"/>
            <w:left w:val="none" w:sz="0" w:space="0" w:color="auto"/>
            <w:bottom w:val="none" w:sz="0" w:space="0" w:color="auto"/>
            <w:right w:val="none" w:sz="0" w:space="0" w:color="auto"/>
          </w:divBdr>
        </w:div>
      </w:divsChild>
    </w:div>
    <w:div w:id="241067170">
      <w:bodyDiv w:val="1"/>
      <w:marLeft w:val="0"/>
      <w:marRight w:val="0"/>
      <w:marTop w:val="0"/>
      <w:marBottom w:val="0"/>
      <w:divBdr>
        <w:top w:val="none" w:sz="0" w:space="0" w:color="auto"/>
        <w:left w:val="none" w:sz="0" w:space="0" w:color="auto"/>
        <w:bottom w:val="none" w:sz="0" w:space="0" w:color="auto"/>
        <w:right w:val="none" w:sz="0" w:space="0" w:color="auto"/>
      </w:divBdr>
      <w:divsChild>
        <w:div w:id="154035522">
          <w:marLeft w:val="0"/>
          <w:marRight w:val="0"/>
          <w:marTop w:val="0"/>
          <w:marBottom w:val="0"/>
          <w:divBdr>
            <w:top w:val="none" w:sz="0" w:space="0" w:color="auto"/>
            <w:left w:val="none" w:sz="0" w:space="0" w:color="auto"/>
            <w:bottom w:val="none" w:sz="0" w:space="0" w:color="auto"/>
            <w:right w:val="none" w:sz="0" w:space="0" w:color="auto"/>
          </w:divBdr>
        </w:div>
        <w:div w:id="1006053005">
          <w:marLeft w:val="0"/>
          <w:marRight w:val="0"/>
          <w:marTop w:val="0"/>
          <w:marBottom w:val="0"/>
          <w:divBdr>
            <w:top w:val="none" w:sz="0" w:space="0" w:color="auto"/>
            <w:left w:val="none" w:sz="0" w:space="0" w:color="auto"/>
            <w:bottom w:val="none" w:sz="0" w:space="0" w:color="auto"/>
            <w:right w:val="none" w:sz="0" w:space="0" w:color="auto"/>
          </w:divBdr>
        </w:div>
      </w:divsChild>
    </w:div>
    <w:div w:id="366418084">
      <w:bodyDiv w:val="1"/>
      <w:marLeft w:val="0"/>
      <w:marRight w:val="0"/>
      <w:marTop w:val="0"/>
      <w:marBottom w:val="0"/>
      <w:divBdr>
        <w:top w:val="none" w:sz="0" w:space="0" w:color="auto"/>
        <w:left w:val="none" w:sz="0" w:space="0" w:color="auto"/>
        <w:bottom w:val="none" w:sz="0" w:space="0" w:color="auto"/>
        <w:right w:val="none" w:sz="0" w:space="0" w:color="auto"/>
      </w:divBdr>
    </w:div>
    <w:div w:id="566957255">
      <w:bodyDiv w:val="1"/>
      <w:marLeft w:val="0"/>
      <w:marRight w:val="0"/>
      <w:marTop w:val="0"/>
      <w:marBottom w:val="0"/>
      <w:divBdr>
        <w:top w:val="none" w:sz="0" w:space="0" w:color="auto"/>
        <w:left w:val="none" w:sz="0" w:space="0" w:color="auto"/>
        <w:bottom w:val="none" w:sz="0" w:space="0" w:color="auto"/>
        <w:right w:val="none" w:sz="0" w:space="0" w:color="auto"/>
      </w:divBdr>
    </w:div>
    <w:div w:id="588929565">
      <w:bodyDiv w:val="1"/>
      <w:marLeft w:val="0"/>
      <w:marRight w:val="0"/>
      <w:marTop w:val="0"/>
      <w:marBottom w:val="0"/>
      <w:divBdr>
        <w:top w:val="none" w:sz="0" w:space="0" w:color="auto"/>
        <w:left w:val="none" w:sz="0" w:space="0" w:color="auto"/>
        <w:bottom w:val="none" w:sz="0" w:space="0" w:color="auto"/>
        <w:right w:val="none" w:sz="0" w:space="0" w:color="auto"/>
      </w:divBdr>
    </w:div>
    <w:div w:id="690495757">
      <w:bodyDiv w:val="1"/>
      <w:marLeft w:val="0"/>
      <w:marRight w:val="0"/>
      <w:marTop w:val="0"/>
      <w:marBottom w:val="0"/>
      <w:divBdr>
        <w:top w:val="none" w:sz="0" w:space="0" w:color="auto"/>
        <w:left w:val="none" w:sz="0" w:space="0" w:color="auto"/>
        <w:bottom w:val="none" w:sz="0" w:space="0" w:color="auto"/>
        <w:right w:val="none" w:sz="0" w:space="0" w:color="auto"/>
      </w:divBdr>
    </w:div>
    <w:div w:id="837042331">
      <w:bodyDiv w:val="1"/>
      <w:marLeft w:val="0"/>
      <w:marRight w:val="0"/>
      <w:marTop w:val="0"/>
      <w:marBottom w:val="0"/>
      <w:divBdr>
        <w:top w:val="none" w:sz="0" w:space="0" w:color="auto"/>
        <w:left w:val="none" w:sz="0" w:space="0" w:color="auto"/>
        <w:bottom w:val="none" w:sz="0" w:space="0" w:color="auto"/>
        <w:right w:val="none" w:sz="0" w:space="0" w:color="auto"/>
      </w:divBdr>
    </w:div>
    <w:div w:id="857500375">
      <w:bodyDiv w:val="1"/>
      <w:marLeft w:val="0"/>
      <w:marRight w:val="0"/>
      <w:marTop w:val="0"/>
      <w:marBottom w:val="0"/>
      <w:divBdr>
        <w:top w:val="none" w:sz="0" w:space="0" w:color="auto"/>
        <w:left w:val="none" w:sz="0" w:space="0" w:color="auto"/>
        <w:bottom w:val="none" w:sz="0" w:space="0" w:color="auto"/>
        <w:right w:val="none" w:sz="0" w:space="0" w:color="auto"/>
      </w:divBdr>
    </w:div>
    <w:div w:id="886725958">
      <w:bodyDiv w:val="1"/>
      <w:marLeft w:val="0"/>
      <w:marRight w:val="0"/>
      <w:marTop w:val="0"/>
      <w:marBottom w:val="0"/>
      <w:divBdr>
        <w:top w:val="none" w:sz="0" w:space="0" w:color="auto"/>
        <w:left w:val="none" w:sz="0" w:space="0" w:color="auto"/>
        <w:bottom w:val="none" w:sz="0" w:space="0" w:color="auto"/>
        <w:right w:val="none" w:sz="0" w:space="0" w:color="auto"/>
      </w:divBdr>
    </w:div>
    <w:div w:id="937566053">
      <w:bodyDiv w:val="1"/>
      <w:marLeft w:val="0"/>
      <w:marRight w:val="0"/>
      <w:marTop w:val="0"/>
      <w:marBottom w:val="0"/>
      <w:divBdr>
        <w:top w:val="none" w:sz="0" w:space="0" w:color="auto"/>
        <w:left w:val="none" w:sz="0" w:space="0" w:color="auto"/>
        <w:bottom w:val="none" w:sz="0" w:space="0" w:color="auto"/>
        <w:right w:val="none" w:sz="0" w:space="0" w:color="auto"/>
      </w:divBdr>
    </w:div>
    <w:div w:id="969165750">
      <w:bodyDiv w:val="1"/>
      <w:marLeft w:val="0"/>
      <w:marRight w:val="0"/>
      <w:marTop w:val="0"/>
      <w:marBottom w:val="0"/>
      <w:divBdr>
        <w:top w:val="none" w:sz="0" w:space="0" w:color="auto"/>
        <w:left w:val="none" w:sz="0" w:space="0" w:color="auto"/>
        <w:bottom w:val="none" w:sz="0" w:space="0" w:color="auto"/>
        <w:right w:val="none" w:sz="0" w:space="0" w:color="auto"/>
      </w:divBdr>
      <w:divsChild>
        <w:div w:id="1783643459">
          <w:marLeft w:val="0"/>
          <w:marRight w:val="0"/>
          <w:marTop w:val="0"/>
          <w:marBottom w:val="0"/>
          <w:divBdr>
            <w:top w:val="none" w:sz="0" w:space="0" w:color="auto"/>
            <w:left w:val="none" w:sz="0" w:space="0" w:color="auto"/>
            <w:bottom w:val="none" w:sz="0" w:space="0" w:color="auto"/>
            <w:right w:val="none" w:sz="0" w:space="0" w:color="auto"/>
          </w:divBdr>
        </w:div>
        <w:div w:id="1278876445">
          <w:marLeft w:val="0"/>
          <w:marRight w:val="0"/>
          <w:marTop w:val="0"/>
          <w:marBottom w:val="0"/>
          <w:divBdr>
            <w:top w:val="none" w:sz="0" w:space="0" w:color="auto"/>
            <w:left w:val="none" w:sz="0" w:space="0" w:color="auto"/>
            <w:bottom w:val="none" w:sz="0" w:space="0" w:color="auto"/>
            <w:right w:val="none" w:sz="0" w:space="0" w:color="auto"/>
          </w:divBdr>
        </w:div>
      </w:divsChild>
    </w:div>
    <w:div w:id="1087268725">
      <w:bodyDiv w:val="1"/>
      <w:marLeft w:val="0"/>
      <w:marRight w:val="0"/>
      <w:marTop w:val="0"/>
      <w:marBottom w:val="0"/>
      <w:divBdr>
        <w:top w:val="none" w:sz="0" w:space="0" w:color="auto"/>
        <w:left w:val="none" w:sz="0" w:space="0" w:color="auto"/>
        <w:bottom w:val="none" w:sz="0" w:space="0" w:color="auto"/>
        <w:right w:val="none" w:sz="0" w:space="0" w:color="auto"/>
      </w:divBdr>
    </w:div>
    <w:div w:id="1132869789">
      <w:bodyDiv w:val="1"/>
      <w:marLeft w:val="0"/>
      <w:marRight w:val="0"/>
      <w:marTop w:val="0"/>
      <w:marBottom w:val="0"/>
      <w:divBdr>
        <w:top w:val="none" w:sz="0" w:space="0" w:color="auto"/>
        <w:left w:val="none" w:sz="0" w:space="0" w:color="auto"/>
        <w:bottom w:val="none" w:sz="0" w:space="0" w:color="auto"/>
        <w:right w:val="none" w:sz="0" w:space="0" w:color="auto"/>
      </w:divBdr>
    </w:div>
    <w:div w:id="1142892164">
      <w:bodyDiv w:val="1"/>
      <w:marLeft w:val="0"/>
      <w:marRight w:val="0"/>
      <w:marTop w:val="0"/>
      <w:marBottom w:val="0"/>
      <w:divBdr>
        <w:top w:val="none" w:sz="0" w:space="0" w:color="auto"/>
        <w:left w:val="none" w:sz="0" w:space="0" w:color="auto"/>
        <w:bottom w:val="none" w:sz="0" w:space="0" w:color="auto"/>
        <w:right w:val="none" w:sz="0" w:space="0" w:color="auto"/>
      </w:divBdr>
    </w:div>
    <w:div w:id="1158040438">
      <w:bodyDiv w:val="1"/>
      <w:marLeft w:val="0"/>
      <w:marRight w:val="0"/>
      <w:marTop w:val="0"/>
      <w:marBottom w:val="0"/>
      <w:divBdr>
        <w:top w:val="none" w:sz="0" w:space="0" w:color="auto"/>
        <w:left w:val="none" w:sz="0" w:space="0" w:color="auto"/>
        <w:bottom w:val="none" w:sz="0" w:space="0" w:color="auto"/>
        <w:right w:val="none" w:sz="0" w:space="0" w:color="auto"/>
      </w:divBdr>
    </w:div>
    <w:div w:id="1213230947">
      <w:bodyDiv w:val="1"/>
      <w:marLeft w:val="0"/>
      <w:marRight w:val="0"/>
      <w:marTop w:val="0"/>
      <w:marBottom w:val="0"/>
      <w:divBdr>
        <w:top w:val="none" w:sz="0" w:space="0" w:color="auto"/>
        <w:left w:val="none" w:sz="0" w:space="0" w:color="auto"/>
        <w:bottom w:val="none" w:sz="0" w:space="0" w:color="auto"/>
        <w:right w:val="none" w:sz="0" w:space="0" w:color="auto"/>
      </w:divBdr>
    </w:div>
    <w:div w:id="1309479874">
      <w:bodyDiv w:val="1"/>
      <w:marLeft w:val="0"/>
      <w:marRight w:val="0"/>
      <w:marTop w:val="0"/>
      <w:marBottom w:val="0"/>
      <w:divBdr>
        <w:top w:val="none" w:sz="0" w:space="0" w:color="auto"/>
        <w:left w:val="none" w:sz="0" w:space="0" w:color="auto"/>
        <w:bottom w:val="none" w:sz="0" w:space="0" w:color="auto"/>
        <w:right w:val="none" w:sz="0" w:space="0" w:color="auto"/>
      </w:divBdr>
    </w:div>
    <w:div w:id="1350721447">
      <w:bodyDiv w:val="1"/>
      <w:marLeft w:val="0"/>
      <w:marRight w:val="0"/>
      <w:marTop w:val="0"/>
      <w:marBottom w:val="0"/>
      <w:divBdr>
        <w:top w:val="none" w:sz="0" w:space="0" w:color="auto"/>
        <w:left w:val="none" w:sz="0" w:space="0" w:color="auto"/>
        <w:bottom w:val="none" w:sz="0" w:space="0" w:color="auto"/>
        <w:right w:val="none" w:sz="0" w:space="0" w:color="auto"/>
      </w:divBdr>
    </w:div>
    <w:div w:id="1436363376">
      <w:bodyDiv w:val="1"/>
      <w:marLeft w:val="0"/>
      <w:marRight w:val="0"/>
      <w:marTop w:val="0"/>
      <w:marBottom w:val="0"/>
      <w:divBdr>
        <w:top w:val="none" w:sz="0" w:space="0" w:color="auto"/>
        <w:left w:val="none" w:sz="0" w:space="0" w:color="auto"/>
        <w:bottom w:val="none" w:sz="0" w:space="0" w:color="auto"/>
        <w:right w:val="none" w:sz="0" w:space="0" w:color="auto"/>
      </w:divBdr>
    </w:div>
    <w:div w:id="1453162260">
      <w:bodyDiv w:val="1"/>
      <w:marLeft w:val="0"/>
      <w:marRight w:val="0"/>
      <w:marTop w:val="0"/>
      <w:marBottom w:val="0"/>
      <w:divBdr>
        <w:top w:val="none" w:sz="0" w:space="0" w:color="auto"/>
        <w:left w:val="none" w:sz="0" w:space="0" w:color="auto"/>
        <w:bottom w:val="none" w:sz="0" w:space="0" w:color="auto"/>
        <w:right w:val="none" w:sz="0" w:space="0" w:color="auto"/>
      </w:divBdr>
    </w:div>
    <w:div w:id="1455518831">
      <w:bodyDiv w:val="1"/>
      <w:marLeft w:val="0"/>
      <w:marRight w:val="0"/>
      <w:marTop w:val="0"/>
      <w:marBottom w:val="0"/>
      <w:divBdr>
        <w:top w:val="none" w:sz="0" w:space="0" w:color="auto"/>
        <w:left w:val="none" w:sz="0" w:space="0" w:color="auto"/>
        <w:bottom w:val="none" w:sz="0" w:space="0" w:color="auto"/>
        <w:right w:val="none" w:sz="0" w:space="0" w:color="auto"/>
      </w:divBdr>
      <w:divsChild>
        <w:div w:id="1651059388">
          <w:marLeft w:val="0"/>
          <w:marRight w:val="0"/>
          <w:marTop w:val="0"/>
          <w:marBottom w:val="0"/>
          <w:divBdr>
            <w:top w:val="none" w:sz="0" w:space="0" w:color="auto"/>
            <w:left w:val="none" w:sz="0" w:space="0" w:color="auto"/>
            <w:bottom w:val="none" w:sz="0" w:space="0" w:color="auto"/>
            <w:right w:val="none" w:sz="0" w:space="0" w:color="auto"/>
          </w:divBdr>
        </w:div>
        <w:div w:id="2005549730">
          <w:marLeft w:val="0"/>
          <w:marRight w:val="0"/>
          <w:marTop w:val="0"/>
          <w:marBottom w:val="0"/>
          <w:divBdr>
            <w:top w:val="none" w:sz="0" w:space="0" w:color="auto"/>
            <w:left w:val="none" w:sz="0" w:space="0" w:color="auto"/>
            <w:bottom w:val="none" w:sz="0" w:space="0" w:color="auto"/>
            <w:right w:val="none" w:sz="0" w:space="0" w:color="auto"/>
          </w:divBdr>
        </w:div>
      </w:divsChild>
    </w:div>
    <w:div w:id="1493252063">
      <w:bodyDiv w:val="1"/>
      <w:marLeft w:val="0"/>
      <w:marRight w:val="0"/>
      <w:marTop w:val="0"/>
      <w:marBottom w:val="0"/>
      <w:divBdr>
        <w:top w:val="none" w:sz="0" w:space="0" w:color="auto"/>
        <w:left w:val="none" w:sz="0" w:space="0" w:color="auto"/>
        <w:bottom w:val="none" w:sz="0" w:space="0" w:color="auto"/>
        <w:right w:val="none" w:sz="0" w:space="0" w:color="auto"/>
      </w:divBdr>
      <w:divsChild>
        <w:div w:id="1582450499">
          <w:marLeft w:val="0"/>
          <w:marRight w:val="0"/>
          <w:marTop w:val="0"/>
          <w:marBottom w:val="0"/>
          <w:divBdr>
            <w:top w:val="none" w:sz="0" w:space="0" w:color="auto"/>
            <w:left w:val="none" w:sz="0" w:space="0" w:color="auto"/>
            <w:bottom w:val="none" w:sz="0" w:space="0" w:color="auto"/>
            <w:right w:val="none" w:sz="0" w:space="0" w:color="auto"/>
          </w:divBdr>
        </w:div>
        <w:div w:id="1875969464">
          <w:marLeft w:val="0"/>
          <w:marRight w:val="0"/>
          <w:marTop w:val="0"/>
          <w:marBottom w:val="0"/>
          <w:divBdr>
            <w:top w:val="none" w:sz="0" w:space="0" w:color="auto"/>
            <w:left w:val="none" w:sz="0" w:space="0" w:color="auto"/>
            <w:bottom w:val="none" w:sz="0" w:space="0" w:color="auto"/>
            <w:right w:val="none" w:sz="0" w:space="0" w:color="auto"/>
          </w:divBdr>
        </w:div>
        <w:div w:id="1611745441">
          <w:marLeft w:val="0"/>
          <w:marRight w:val="0"/>
          <w:marTop w:val="0"/>
          <w:marBottom w:val="0"/>
          <w:divBdr>
            <w:top w:val="none" w:sz="0" w:space="0" w:color="auto"/>
            <w:left w:val="none" w:sz="0" w:space="0" w:color="auto"/>
            <w:bottom w:val="none" w:sz="0" w:space="0" w:color="auto"/>
            <w:right w:val="none" w:sz="0" w:space="0" w:color="auto"/>
          </w:divBdr>
        </w:div>
      </w:divsChild>
    </w:div>
    <w:div w:id="1493449921">
      <w:bodyDiv w:val="1"/>
      <w:marLeft w:val="0"/>
      <w:marRight w:val="0"/>
      <w:marTop w:val="0"/>
      <w:marBottom w:val="0"/>
      <w:divBdr>
        <w:top w:val="none" w:sz="0" w:space="0" w:color="auto"/>
        <w:left w:val="none" w:sz="0" w:space="0" w:color="auto"/>
        <w:bottom w:val="none" w:sz="0" w:space="0" w:color="auto"/>
        <w:right w:val="none" w:sz="0" w:space="0" w:color="auto"/>
      </w:divBdr>
    </w:div>
    <w:div w:id="1547597611">
      <w:bodyDiv w:val="1"/>
      <w:marLeft w:val="0"/>
      <w:marRight w:val="0"/>
      <w:marTop w:val="0"/>
      <w:marBottom w:val="0"/>
      <w:divBdr>
        <w:top w:val="none" w:sz="0" w:space="0" w:color="auto"/>
        <w:left w:val="none" w:sz="0" w:space="0" w:color="auto"/>
        <w:bottom w:val="none" w:sz="0" w:space="0" w:color="auto"/>
        <w:right w:val="none" w:sz="0" w:space="0" w:color="auto"/>
      </w:divBdr>
    </w:div>
    <w:div w:id="1562910090">
      <w:bodyDiv w:val="1"/>
      <w:marLeft w:val="0"/>
      <w:marRight w:val="0"/>
      <w:marTop w:val="0"/>
      <w:marBottom w:val="0"/>
      <w:divBdr>
        <w:top w:val="none" w:sz="0" w:space="0" w:color="auto"/>
        <w:left w:val="none" w:sz="0" w:space="0" w:color="auto"/>
        <w:bottom w:val="none" w:sz="0" w:space="0" w:color="auto"/>
        <w:right w:val="none" w:sz="0" w:space="0" w:color="auto"/>
      </w:divBdr>
    </w:div>
    <w:div w:id="1587108277">
      <w:bodyDiv w:val="1"/>
      <w:marLeft w:val="0"/>
      <w:marRight w:val="0"/>
      <w:marTop w:val="0"/>
      <w:marBottom w:val="0"/>
      <w:divBdr>
        <w:top w:val="none" w:sz="0" w:space="0" w:color="auto"/>
        <w:left w:val="none" w:sz="0" w:space="0" w:color="auto"/>
        <w:bottom w:val="none" w:sz="0" w:space="0" w:color="auto"/>
        <w:right w:val="none" w:sz="0" w:space="0" w:color="auto"/>
      </w:divBdr>
    </w:div>
    <w:div w:id="1592661394">
      <w:bodyDiv w:val="1"/>
      <w:marLeft w:val="0"/>
      <w:marRight w:val="0"/>
      <w:marTop w:val="0"/>
      <w:marBottom w:val="0"/>
      <w:divBdr>
        <w:top w:val="none" w:sz="0" w:space="0" w:color="auto"/>
        <w:left w:val="none" w:sz="0" w:space="0" w:color="auto"/>
        <w:bottom w:val="none" w:sz="0" w:space="0" w:color="auto"/>
        <w:right w:val="none" w:sz="0" w:space="0" w:color="auto"/>
      </w:divBdr>
    </w:div>
    <w:div w:id="1627737705">
      <w:bodyDiv w:val="1"/>
      <w:marLeft w:val="0"/>
      <w:marRight w:val="0"/>
      <w:marTop w:val="0"/>
      <w:marBottom w:val="0"/>
      <w:divBdr>
        <w:top w:val="none" w:sz="0" w:space="0" w:color="auto"/>
        <w:left w:val="none" w:sz="0" w:space="0" w:color="auto"/>
        <w:bottom w:val="none" w:sz="0" w:space="0" w:color="auto"/>
        <w:right w:val="none" w:sz="0" w:space="0" w:color="auto"/>
      </w:divBdr>
    </w:div>
    <w:div w:id="1770616167">
      <w:bodyDiv w:val="1"/>
      <w:marLeft w:val="0"/>
      <w:marRight w:val="0"/>
      <w:marTop w:val="0"/>
      <w:marBottom w:val="0"/>
      <w:divBdr>
        <w:top w:val="none" w:sz="0" w:space="0" w:color="auto"/>
        <w:left w:val="none" w:sz="0" w:space="0" w:color="auto"/>
        <w:bottom w:val="none" w:sz="0" w:space="0" w:color="auto"/>
        <w:right w:val="none" w:sz="0" w:space="0" w:color="auto"/>
      </w:divBdr>
      <w:divsChild>
        <w:div w:id="1164082524">
          <w:marLeft w:val="0"/>
          <w:marRight w:val="0"/>
          <w:marTop w:val="0"/>
          <w:marBottom w:val="0"/>
          <w:divBdr>
            <w:top w:val="none" w:sz="0" w:space="0" w:color="auto"/>
            <w:left w:val="none" w:sz="0" w:space="0" w:color="auto"/>
            <w:bottom w:val="none" w:sz="0" w:space="0" w:color="auto"/>
            <w:right w:val="none" w:sz="0" w:space="0" w:color="auto"/>
          </w:divBdr>
        </w:div>
        <w:div w:id="1325937403">
          <w:marLeft w:val="0"/>
          <w:marRight w:val="0"/>
          <w:marTop w:val="0"/>
          <w:marBottom w:val="0"/>
          <w:divBdr>
            <w:top w:val="none" w:sz="0" w:space="0" w:color="auto"/>
            <w:left w:val="none" w:sz="0" w:space="0" w:color="auto"/>
            <w:bottom w:val="none" w:sz="0" w:space="0" w:color="auto"/>
            <w:right w:val="none" w:sz="0" w:space="0" w:color="auto"/>
          </w:divBdr>
        </w:div>
      </w:divsChild>
    </w:div>
    <w:div w:id="1824929879">
      <w:bodyDiv w:val="1"/>
      <w:marLeft w:val="0"/>
      <w:marRight w:val="0"/>
      <w:marTop w:val="0"/>
      <w:marBottom w:val="0"/>
      <w:divBdr>
        <w:top w:val="none" w:sz="0" w:space="0" w:color="auto"/>
        <w:left w:val="none" w:sz="0" w:space="0" w:color="auto"/>
        <w:bottom w:val="none" w:sz="0" w:space="0" w:color="auto"/>
        <w:right w:val="none" w:sz="0" w:space="0" w:color="auto"/>
      </w:divBdr>
    </w:div>
    <w:div w:id="1848403736">
      <w:bodyDiv w:val="1"/>
      <w:marLeft w:val="0"/>
      <w:marRight w:val="0"/>
      <w:marTop w:val="0"/>
      <w:marBottom w:val="0"/>
      <w:divBdr>
        <w:top w:val="none" w:sz="0" w:space="0" w:color="auto"/>
        <w:left w:val="none" w:sz="0" w:space="0" w:color="auto"/>
        <w:bottom w:val="none" w:sz="0" w:space="0" w:color="auto"/>
        <w:right w:val="none" w:sz="0" w:space="0" w:color="auto"/>
      </w:divBdr>
    </w:div>
    <w:div w:id="2006937695">
      <w:bodyDiv w:val="1"/>
      <w:marLeft w:val="0"/>
      <w:marRight w:val="0"/>
      <w:marTop w:val="0"/>
      <w:marBottom w:val="0"/>
      <w:divBdr>
        <w:top w:val="none" w:sz="0" w:space="0" w:color="auto"/>
        <w:left w:val="none" w:sz="0" w:space="0" w:color="auto"/>
        <w:bottom w:val="none" w:sz="0" w:space="0" w:color="auto"/>
        <w:right w:val="none" w:sz="0" w:space="0" w:color="auto"/>
      </w:divBdr>
    </w:div>
    <w:div w:id="2038457309">
      <w:bodyDiv w:val="1"/>
      <w:marLeft w:val="0"/>
      <w:marRight w:val="0"/>
      <w:marTop w:val="0"/>
      <w:marBottom w:val="0"/>
      <w:divBdr>
        <w:top w:val="none" w:sz="0" w:space="0" w:color="auto"/>
        <w:left w:val="none" w:sz="0" w:space="0" w:color="auto"/>
        <w:bottom w:val="none" w:sz="0" w:space="0" w:color="auto"/>
        <w:right w:val="none" w:sz="0" w:space="0" w:color="auto"/>
      </w:divBdr>
    </w:div>
    <w:div w:id="2072531343">
      <w:bodyDiv w:val="1"/>
      <w:marLeft w:val="0"/>
      <w:marRight w:val="0"/>
      <w:marTop w:val="0"/>
      <w:marBottom w:val="0"/>
      <w:divBdr>
        <w:top w:val="none" w:sz="0" w:space="0" w:color="auto"/>
        <w:left w:val="none" w:sz="0" w:space="0" w:color="auto"/>
        <w:bottom w:val="none" w:sz="0" w:space="0" w:color="auto"/>
        <w:right w:val="none" w:sz="0" w:space="0" w:color="auto"/>
      </w:divBdr>
    </w:div>
    <w:div w:id="2086342829">
      <w:bodyDiv w:val="1"/>
      <w:marLeft w:val="0"/>
      <w:marRight w:val="0"/>
      <w:marTop w:val="0"/>
      <w:marBottom w:val="0"/>
      <w:divBdr>
        <w:top w:val="none" w:sz="0" w:space="0" w:color="auto"/>
        <w:left w:val="none" w:sz="0" w:space="0" w:color="auto"/>
        <w:bottom w:val="none" w:sz="0" w:space="0" w:color="auto"/>
        <w:right w:val="none" w:sz="0" w:space="0" w:color="auto"/>
      </w:divBdr>
      <w:divsChild>
        <w:div w:id="910886695">
          <w:marLeft w:val="0"/>
          <w:marRight w:val="0"/>
          <w:marTop w:val="0"/>
          <w:marBottom w:val="0"/>
          <w:divBdr>
            <w:top w:val="none" w:sz="0" w:space="0" w:color="auto"/>
            <w:left w:val="none" w:sz="0" w:space="0" w:color="auto"/>
            <w:bottom w:val="none" w:sz="0" w:space="0" w:color="auto"/>
            <w:right w:val="none" w:sz="0" w:space="0" w:color="auto"/>
          </w:divBdr>
        </w:div>
        <w:div w:id="982587607">
          <w:marLeft w:val="0"/>
          <w:marRight w:val="0"/>
          <w:marTop w:val="0"/>
          <w:marBottom w:val="0"/>
          <w:divBdr>
            <w:top w:val="none" w:sz="0" w:space="0" w:color="auto"/>
            <w:left w:val="none" w:sz="0" w:space="0" w:color="auto"/>
            <w:bottom w:val="none" w:sz="0" w:space="0" w:color="auto"/>
            <w:right w:val="none" w:sz="0" w:space="0" w:color="auto"/>
          </w:divBdr>
        </w:div>
      </w:divsChild>
    </w:div>
    <w:div w:id="2088771131">
      <w:bodyDiv w:val="1"/>
      <w:marLeft w:val="0"/>
      <w:marRight w:val="0"/>
      <w:marTop w:val="0"/>
      <w:marBottom w:val="0"/>
      <w:divBdr>
        <w:top w:val="none" w:sz="0" w:space="0" w:color="auto"/>
        <w:left w:val="none" w:sz="0" w:space="0" w:color="auto"/>
        <w:bottom w:val="none" w:sz="0" w:space="0" w:color="auto"/>
        <w:right w:val="none" w:sz="0" w:space="0" w:color="auto"/>
      </w:divBdr>
    </w:div>
    <w:div w:id="2114398821">
      <w:bodyDiv w:val="1"/>
      <w:marLeft w:val="0"/>
      <w:marRight w:val="0"/>
      <w:marTop w:val="0"/>
      <w:marBottom w:val="0"/>
      <w:divBdr>
        <w:top w:val="none" w:sz="0" w:space="0" w:color="auto"/>
        <w:left w:val="none" w:sz="0" w:space="0" w:color="auto"/>
        <w:bottom w:val="none" w:sz="0" w:space="0" w:color="auto"/>
        <w:right w:val="none" w:sz="0" w:space="0" w:color="auto"/>
      </w:divBdr>
    </w:div>
    <w:div w:id="2137211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59d79ddb4bea4593" Type="http://schemas.microsoft.com/office/2019/09/relationships/intelligence" Target="intelligence.xml"/><Relationship Id="rId7" Type="http://schemas.openxmlformats.org/officeDocument/2006/relationships/settings" Target="settings.xml"/><Relationship Id="rId12" Type="http://schemas.openxmlformats.org/officeDocument/2006/relationships/hyperlink" Target="mailto:reward@newcastle.ac.uk" TargetMode="External"/><Relationship Id="rId17"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cl.ac.uk/media/wwwnclacuk/whoweare/files/NU%20-%20EDI%20Strategy%2028022020%20FINAL%20w.Logo.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documenttasks/documenttasks1.xml><?xml version="1.0" encoding="utf-8"?>
<t:Tasks xmlns:t="http://schemas.microsoft.com/office/tasks/2019/documenttasks" xmlns:oel="http://schemas.microsoft.com/office/2019/extlst">
  <t:Task id="{4BC006A1-B8B8-48FC-84A2-E17FDDB5A999}">
    <t:Anchor>
      <t:Comment id="2120019517"/>
    </t:Anchor>
    <t:History>
      <t:Event id="{7A929A8D-E0A6-4B2D-80C3-8AF91A5C6B92}" time="2021-10-11T09:12:14.786Z">
        <t:Attribution userId="S::nfd32@newcastle.ac.uk::f818a990-0d55-4392-bdad-5790ae6c5851" userProvider="AD" userName="Freya Douglas-Oloyede"/>
        <t:Anchor>
          <t:Comment id="2120019517"/>
        </t:Anchor>
        <t:Create/>
      </t:Event>
      <t:Event id="{1955988D-4600-439F-8529-EB16B1EDDB70}" time="2021-10-11T09:12:14.786Z">
        <t:Attribution userId="S::nfd32@newcastle.ac.uk::f818a990-0d55-4392-bdad-5790ae6c5851" userProvider="AD" userName="Freya Douglas-Oloyede"/>
        <t:Anchor>
          <t:Comment id="2120019517"/>
        </t:Anchor>
        <t:Assign userId="S::npb115@newcastle.ac.uk::b7a80236-9501-4703-a3b0-6ce48c37db8f" userProvider="AD" userName="Paul Britton"/>
      </t:Event>
      <t:Event id="{18A30E12-0A9D-427B-B7EA-B474D8DDDE98}" time="2021-10-11T09:12:14.786Z">
        <t:Attribution userId="S::nfd32@newcastle.ac.uk::f818a990-0d55-4392-bdad-5790ae6c5851" userProvider="AD" userName="Freya Douglas-Oloyede"/>
        <t:Anchor>
          <t:Comment id="2120019517"/>
        </t:Anchor>
        <t:SetTitle title="Can we say something about the expansion of the team? @Paul Britton"/>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119BEA71A23B468A992D81E4EB4409" ma:contentTypeVersion="13" ma:contentTypeDescription="Create a new document." ma:contentTypeScope="" ma:versionID="a7ff4aef97d0c9a3339aeaa809941534">
  <xsd:schema xmlns:xsd="http://www.w3.org/2001/XMLSchema" xmlns:xs="http://www.w3.org/2001/XMLSchema" xmlns:p="http://schemas.microsoft.com/office/2006/metadata/properties" xmlns:ns3="4deac9f7-3390-4bef-a19b-076c60b8234d" xmlns:ns4="f1c6defb-5fd3-4634-81c7-e48392dc0b1a" targetNamespace="http://schemas.microsoft.com/office/2006/metadata/properties" ma:root="true" ma:fieldsID="cb96f88241bffd07379eb4de40743bb7" ns3:_="" ns4:_="">
    <xsd:import namespace="4deac9f7-3390-4bef-a19b-076c60b8234d"/>
    <xsd:import namespace="f1c6defb-5fd3-4634-81c7-e48392dc0b1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LengthInSecond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eac9f7-3390-4bef-a19b-076c60b823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c6defb-5fd3-4634-81c7-e48392dc0b1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BF645DF-2E2F-4E85-8989-CC34873F5F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eac9f7-3390-4bef-a19b-076c60b8234d"/>
    <ds:schemaRef ds:uri="f1c6defb-5fd3-4634-81c7-e48392dc0b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8E915D-84B9-4BD7-8030-42BBE43C584D}">
  <ds:schemaRefs>
    <ds:schemaRef ds:uri="http://schemas.openxmlformats.org/officeDocument/2006/bibliography"/>
  </ds:schemaRefs>
</ds:datastoreItem>
</file>

<file path=customXml/itemProps3.xml><?xml version="1.0" encoding="utf-8"?>
<ds:datastoreItem xmlns:ds="http://schemas.openxmlformats.org/officeDocument/2006/customXml" ds:itemID="{668156E1-754D-46BE-8E0D-B12BE755201D}">
  <ds:schemaRefs>
    <ds:schemaRef ds:uri="http://schemas.microsoft.com/sharepoint/v3/contenttype/forms"/>
  </ds:schemaRefs>
</ds:datastoreItem>
</file>

<file path=customXml/itemProps4.xml><?xml version="1.0" encoding="utf-8"?>
<ds:datastoreItem xmlns:ds="http://schemas.openxmlformats.org/officeDocument/2006/customXml" ds:itemID="{58E88E62-C834-4917-B178-E49DCD9A762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38</Pages>
  <Words>13896</Words>
  <Characters>79211</Characters>
  <Application>Microsoft Office Word</Application>
  <DocSecurity>0</DocSecurity>
  <Lines>660</Lines>
  <Paragraphs>185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Freya Douglas-Oloyede</dc:creator>
  <cp:keywords/>
  <dc:description/>
  <cp:lastModifiedBy>Eleanor Farrington</cp:lastModifiedBy>
  <cp:revision>2</cp:revision>
  <dcterms:created xsi:type="dcterms:W3CDTF">2023-06-16T09:30:00Z</dcterms:created>
  <dcterms:modified xsi:type="dcterms:W3CDTF">2023-06-16T09:30:00Z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0x010100FC119BEA71A23B468A992D81E4EB4409</vt:lpwstr>
  </property>
</Properties>
</file>